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5D453" w14:textId="40A09D88" w:rsidR="003B3E7D" w:rsidRPr="00415C2B" w:rsidRDefault="003B3E7D" w:rsidP="00191EB4">
      <w:pPr>
        <w:spacing w:before="120" w:after="120"/>
        <w:jc w:val="center"/>
        <w:rPr>
          <w:rFonts w:ascii="TT Hoves Medium" w:hAnsi="TT Hoves Medium"/>
          <w:sz w:val="20"/>
          <w:szCs w:val="20"/>
          <w:u w:val="single"/>
        </w:rPr>
      </w:pPr>
      <w:r w:rsidRPr="00415C2B">
        <w:rPr>
          <w:rFonts w:ascii="TT Hoves Medium" w:hAnsi="TT Hoves Medium" w:cs="Arial"/>
          <w:sz w:val="20"/>
          <w:szCs w:val="20"/>
          <w:u w:val="single"/>
        </w:rPr>
        <w:t>Implemen</w:t>
      </w:r>
      <w:r w:rsidRPr="00EC5DE4">
        <w:rPr>
          <w:rFonts w:ascii="TT Hoves Medium" w:hAnsi="TT Hoves Medium" w:cs="Arial"/>
          <w:sz w:val="20"/>
          <w:szCs w:val="20"/>
          <w:u w:val="single"/>
        </w:rPr>
        <w:t xml:space="preserve">tation Statement for the </w:t>
      </w:r>
      <w:r w:rsidR="00E73668" w:rsidRPr="00EC5DE4">
        <w:rPr>
          <w:rFonts w:ascii="TT Hoves Medium" w:hAnsi="TT Hoves Medium" w:cs="Arial"/>
          <w:sz w:val="20"/>
          <w:szCs w:val="20"/>
          <w:u w:val="single"/>
        </w:rPr>
        <w:t>Y</w:t>
      </w:r>
      <w:r w:rsidRPr="00EC5DE4">
        <w:rPr>
          <w:rFonts w:ascii="TT Hoves Medium" w:hAnsi="TT Hoves Medium" w:cs="Arial"/>
          <w:sz w:val="20"/>
          <w:szCs w:val="20"/>
          <w:u w:val="single"/>
        </w:rPr>
        <w:t xml:space="preserve">ear to </w:t>
      </w:r>
      <w:r w:rsidR="00EC5DE4" w:rsidRPr="00EC5DE4">
        <w:rPr>
          <w:rFonts w:ascii="TT Hoves Medium" w:hAnsi="TT Hoves Medium" w:cs="Arial"/>
          <w:sz w:val="20"/>
          <w:szCs w:val="20"/>
          <w:u w:val="single"/>
        </w:rPr>
        <w:t>31 December 2020</w:t>
      </w:r>
    </w:p>
    <w:p w14:paraId="27FF6A8A" w14:textId="54ED57AE" w:rsidR="003B3E7D" w:rsidRPr="00415C2B" w:rsidRDefault="007C26E1" w:rsidP="00191EB4">
      <w:pPr>
        <w:spacing w:before="120" w:after="120"/>
        <w:jc w:val="center"/>
        <w:rPr>
          <w:rFonts w:ascii="TT Hoves Medium" w:hAnsi="TT Hoves Medium"/>
          <w:sz w:val="20"/>
          <w:szCs w:val="20"/>
          <w:u w:val="single"/>
        </w:rPr>
      </w:pPr>
      <w:r>
        <w:rPr>
          <w:rFonts w:ascii="TT Hoves Medium" w:hAnsi="TT Hoves Medium" w:cs="Arial"/>
          <w:sz w:val="20"/>
          <w:szCs w:val="20"/>
          <w:u w:val="single"/>
        </w:rPr>
        <w:t>Adams</w:t>
      </w:r>
      <w:r w:rsidR="00E553D5">
        <w:rPr>
          <w:rFonts w:ascii="TT Hoves Medium" w:hAnsi="TT Hoves Medium" w:cs="Arial"/>
          <w:sz w:val="20"/>
          <w:szCs w:val="20"/>
          <w:u w:val="single"/>
        </w:rPr>
        <w:t xml:space="preserve"> Foods Limited Pension &amp; Assurance</w:t>
      </w:r>
      <w:r w:rsidR="00E82960">
        <w:rPr>
          <w:rFonts w:ascii="TT Hoves Medium" w:hAnsi="TT Hoves Medium" w:cs="Arial"/>
          <w:sz w:val="20"/>
          <w:szCs w:val="20"/>
          <w:u w:val="single"/>
        </w:rPr>
        <w:t xml:space="preserve"> Scheme</w:t>
      </w:r>
      <w:r w:rsidR="00E12FC0" w:rsidRPr="00E12FC0">
        <w:rPr>
          <w:rFonts w:ascii="TT Hoves Medium" w:hAnsi="TT Hoves Medium" w:cs="Arial"/>
          <w:sz w:val="20"/>
          <w:szCs w:val="20"/>
          <w:u w:val="single"/>
        </w:rPr>
        <w:t xml:space="preserve"> </w:t>
      </w:r>
      <w:r w:rsidR="00191EB4">
        <w:rPr>
          <w:rFonts w:ascii="TT Hoves Medium" w:hAnsi="TT Hoves Medium" w:cs="Arial"/>
          <w:sz w:val="20"/>
          <w:szCs w:val="20"/>
          <w:u w:val="single"/>
        </w:rPr>
        <w:t>(‘the Scheme’)</w:t>
      </w:r>
    </w:p>
    <w:p w14:paraId="0CA709AD" w14:textId="77777777" w:rsidR="003B3E7D" w:rsidRPr="00415C2B" w:rsidRDefault="003B3E7D" w:rsidP="007315F1">
      <w:pPr>
        <w:spacing w:line="276" w:lineRule="auto"/>
        <w:contextualSpacing/>
        <w:rPr>
          <w:rFonts w:ascii="TT Hoves Medium" w:eastAsia="Times New Roman" w:hAnsi="TT Hoves Medium"/>
          <w:sz w:val="20"/>
          <w:szCs w:val="20"/>
        </w:rPr>
      </w:pPr>
      <w:r w:rsidRPr="00415C2B">
        <w:rPr>
          <w:rFonts w:ascii="TT Hoves Medium" w:eastAsia="Times New Roman" w:hAnsi="TT Hoves Medium" w:cs="Arial"/>
          <w:sz w:val="20"/>
          <w:szCs w:val="20"/>
        </w:rPr>
        <w:t xml:space="preserve">Introduction </w:t>
      </w:r>
    </w:p>
    <w:p w14:paraId="7F2AE7A5" w14:textId="573FF577" w:rsidR="003B3E7D" w:rsidRPr="008D3B05" w:rsidRDefault="003B3E7D" w:rsidP="007315F1">
      <w:pPr>
        <w:spacing w:before="120" w:after="120"/>
        <w:rPr>
          <w:rFonts w:ascii="TT Hoves Light" w:hAnsi="TT Hoves Light" w:cs="Arial"/>
          <w:sz w:val="20"/>
          <w:szCs w:val="20"/>
        </w:rPr>
      </w:pPr>
      <w:r w:rsidRPr="00415C2B">
        <w:rPr>
          <w:rFonts w:ascii="TT Hoves Light" w:hAnsi="TT Hoves Light" w:cs="Arial"/>
          <w:sz w:val="20"/>
          <w:szCs w:val="20"/>
        </w:rPr>
        <w:t xml:space="preserve">This statement describes the </w:t>
      </w:r>
      <w:r w:rsidRPr="00FB7B22">
        <w:rPr>
          <w:rFonts w:ascii="TT Hoves Light" w:hAnsi="TT Hoves Light" w:cs="Arial"/>
          <w:sz w:val="20"/>
          <w:szCs w:val="20"/>
        </w:rPr>
        <w:t>voting and engagement policies</w:t>
      </w:r>
      <w:r w:rsidRPr="00F9541D">
        <w:rPr>
          <w:rFonts w:ascii="TT Hoves Light" w:hAnsi="TT Hoves Light" w:cs="Arial"/>
          <w:sz w:val="20"/>
          <w:szCs w:val="20"/>
        </w:rPr>
        <w:t xml:space="preserve"> </w:t>
      </w:r>
      <w:r w:rsidRPr="00415C2B">
        <w:rPr>
          <w:rFonts w:ascii="TT Hoves Light" w:hAnsi="TT Hoves Light" w:cs="Arial"/>
          <w:sz w:val="20"/>
          <w:szCs w:val="20"/>
        </w:rPr>
        <w:t xml:space="preserve">of Entrust Pension Limited </w:t>
      </w:r>
      <w:r w:rsidRPr="00F9541D">
        <w:rPr>
          <w:rFonts w:ascii="TT Hoves Light" w:hAnsi="TT Hoves Light" w:cs="Arial"/>
          <w:sz w:val="20"/>
          <w:szCs w:val="20"/>
        </w:rPr>
        <w:t>as</w:t>
      </w:r>
      <w:r w:rsidRPr="00415C2B">
        <w:rPr>
          <w:rFonts w:ascii="TT Hoves Light" w:hAnsi="TT Hoves Light" w:cs="Arial"/>
          <w:sz w:val="20"/>
          <w:szCs w:val="20"/>
        </w:rPr>
        <w:t xml:space="preserve"> Trustee of the Scheme (</w:t>
      </w:r>
      <w:r w:rsidR="000B22A9">
        <w:rPr>
          <w:rFonts w:ascii="TT Hoves Light" w:hAnsi="TT Hoves Light" w:cs="Arial"/>
          <w:sz w:val="20"/>
          <w:szCs w:val="20"/>
        </w:rPr>
        <w:t>‘</w:t>
      </w:r>
      <w:r w:rsidRPr="00415C2B">
        <w:rPr>
          <w:rFonts w:ascii="TT Hoves Light" w:hAnsi="TT Hoves Light" w:cs="Arial"/>
          <w:sz w:val="20"/>
          <w:szCs w:val="20"/>
        </w:rPr>
        <w:t>the Trustee</w:t>
      </w:r>
      <w:r w:rsidR="000B22A9">
        <w:rPr>
          <w:rFonts w:ascii="TT Hoves Light" w:hAnsi="TT Hoves Light" w:cs="Arial"/>
          <w:sz w:val="20"/>
          <w:szCs w:val="20"/>
        </w:rPr>
        <w:t>’</w:t>
      </w:r>
      <w:r w:rsidRPr="00415C2B">
        <w:rPr>
          <w:rFonts w:ascii="TT Hoves Light" w:hAnsi="TT Hoves Light" w:cs="Arial"/>
          <w:sz w:val="20"/>
          <w:szCs w:val="20"/>
        </w:rPr>
        <w:t xml:space="preserve">) along </w:t>
      </w:r>
      <w:r w:rsidRPr="00EC5DE4">
        <w:rPr>
          <w:rFonts w:ascii="TT Hoves Light" w:hAnsi="TT Hoves Light" w:cs="Arial"/>
          <w:sz w:val="20"/>
          <w:szCs w:val="20"/>
        </w:rPr>
        <w:t xml:space="preserve">with a summary of voting and engagement behaviour related to the Scheme’s investments over the 12-month period to </w:t>
      </w:r>
      <w:r w:rsidR="00EC5DE4" w:rsidRPr="00EC5DE4">
        <w:rPr>
          <w:rFonts w:ascii="TT Hoves Light" w:hAnsi="TT Hoves Light" w:cs="Arial"/>
          <w:sz w:val="20"/>
          <w:szCs w:val="20"/>
        </w:rPr>
        <w:t>31 December 2020</w:t>
      </w:r>
      <w:r w:rsidRPr="00EC5DE4">
        <w:rPr>
          <w:rFonts w:ascii="TT Hoves Light" w:hAnsi="TT Hoves Light" w:cs="Arial"/>
          <w:sz w:val="20"/>
          <w:szCs w:val="20"/>
        </w:rPr>
        <w:t>.</w:t>
      </w:r>
    </w:p>
    <w:p w14:paraId="2C058ED1" w14:textId="5E4CF411" w:rsidR="003B3E7D" w:rsidRPr="00415C2B" w:rsidRDefault="003B3E7D" w:rsidP="007315F1">
      <w:pPr>
        <w:pStyle w:val="ListParagraph"/>
        <w:ind w:left="0"/>
        <w:rPr>
          <w:rFonts w:ascii="TT Hoves Light" w:hAnsi="TT Hoves Light" w:cs="Arial"/>
          <w:color w:val="000000"/>
          <w:sz w:val="20"/>
          <w:szCs w:val="20"/>
        </w:rPr>
      </w:pPr>
      <w:r w:rsidRPr="00415C2B">
        <w:rPr>
          <w:rFonts w:ascii="TT Hoves Light" w:hAnsi="TT Hoves Light" w:cs="Arial"/>
          <w:color w:val="000000"/>
          <w:sz w:val="20"/>
          <w:szCs w:val="20"/>
        </w:rPr>
        <w:t xml:space="preserve">This Implementation Report is to provide evidence that the Scheme continues to follow and act on the principles outlined in the </w:t>
      </w:r>
      <w:r w:rsidRPr="00415C2B">
        <w:rPr>
          <w:rFonts w:ascii="TT Hoves Light" w:hAnsi="TT Hoves Light" w:cs="Arial"/>
          <w:sz w:val="20"/>
          <w:szCs w:val="20"/>
        </w:rPr>
        <w:t xml:space="preserve">Statement of Investment </w:t>
      </w:r>
      <w:r w:rsidRPr="006D1A0C">
        <w:rPr>
          <w:rFonts w:ascii="TT Hoves Light" w:hAnsi="TT Hoves Light" w:cs="Arial"/>
          <w:sz w:val="20"/>
          <w:szCs w:val="20"/>
        </w:rPr>
        <w:t xml:space="preserve">Principles </w:t>
      </w:r>
      <w:r w:rsidRPr="00415C2B">
        <w:rPr>
          <w:rFonts w:ascii="TT Hoves Light" w:hAnsi="TT Hoves Light" w:cs="Arial"/>
          <w:sz w:val="20"/>
          <w:szCs w:val="20"/>
        </w:rPr>
        <w:t>(</w:t>
      </w:r>
      <w:r w:rsidR="00845068">
        <w:rPr>
          <w:rFonts w:ascii="TT Hoves Light" w:hAnsi="TT Hoves Light" w:cs="Arial"/>
          <w:sz w:val="20"/>
          <w:szCs w:val="20"/>
        </w:rPr>
        <w:t>‘</w:t>
      </w:r>
      <w:r w:rsidRPr="00415C2B">
        <w:rPr>
          <w:rFonts w:ascii="TT Hoves Light" w:hAnsi="TT Hoves Light" w:cs="Arial"/>
          <w:sz w:val="20"/>
          <w:szCs w:val="20"/>
        </w:rPr>
        <w:t>the SIP</w:t>
      </w:r>
      <w:r w:rsidR="00845068">
        <w:rPr>
          <w:rFonts w:ascii="TT Hoves Light" w:hAnsi="TT Hoves Light" w:cs="Arial"/>
          <w:sz w:val="20"/>
          <w:szCs w:val="20"/>
        </w:rPr>
        <w:t>’</w:t>
      </w:r>
      <w:r w:rsidRPr="00415C2B">
        <w:rPr>
          <w:rFonts w:ascii="TT Hoves Light" w:hAnsi="TT Hoves Light" w:cs="Arial"/>
          <w:sz w:val="20"/>
          <w:szCs w:val="20"/>
        </w:rPr>
        <w:t xml:space="preserve">). </w:t>
      </w:r>
      <w:r w:rsidRPr="00415C2B">
        <w:rPr>
          <w:rFonts w:ascii="TT Hoves Light" w:hAnsi="TT Hoves Light" w:cs="Arial"/>
          <w:color w:val="000000"/>
          <w:sz w:val="20"/>
          <w:szCs w:val="20"/>
        </w:rPr>
        <w:t>This report details:</w:t>
      </w:r>
    </w:p>
    <w:p w14:paraId="57B52AF9" w14:textId="77777777" w:rsidR="003B3E7D" w:rsidRPr="00415C2B" w:rsidRDefault="003B3E7D" w:rsidP="007315F1">
      <w:pPr>
        <w:pStyle w:val="ListParagraph"/>
        <w:ind w:left="0"/>
        <w:rPr>
          <w:rFonts w:ascii="TT Hoves Light" w:hAnsi="TT Hoves Light"/>
        </w:rPr>
      </w:pPr>
    </w:p>
    <w:p w14:paraId="6C44B4BA" w14:textId="2F7EDC41" w:rsidR="003B3E7D" w:rsidRPr="00415C2B" w:rsidRDefault="003B3E7D" w:rsidP="009764A8">
      <w:pPr>
        <w:pStyle w:val="ListParagraph"/>
        <w:numPr>
          <w:ilvl w:val="0"/>
          <w:numId w:val="2"/>
        </w:numPr>
        <w:ind w:left="426" w:hanging="284"/>
        <w:rPr>
          <w:rFonts w:ascii="TT Hoves Light" w:hAnsi="TT Hoves Light" w:cs="Arial"/>
          <w:color w:val="000000"/>
          <w:sz w:val="20"/>
          <w:szCs w:val="20"/>
        </w:rPr>
      </w:pPr>
      <w:r w:rsidRPr="00415C2B">
        <w:rPr>
          <w:rFonts w:ascii="TT Hoves Light" w:hAnsi="TT Hoves Light" w:cs="Arial"/>
          <w:color w:val="000000"/>
          <w:sz w:val="20"/>
          <w:szCs w:val="20"/>
        </w:rPr>
        <w:t>Actions the Trustee has taken to manage financially material risks and implement the key policies in its SIP</w:t>
      </w:r>
      <w:r w:rsidR="00585AAD">
        <w:rPr>
          <w:rFonts w:ascii="TT Hoves Light" w:hAnsi="TT Hoves Light" w:cs="Arial"/>
          <w:color w:val="000000"/>
          <w:sz w:val="20"/>
          <w:szCs w:val="20"/>
        </w:rPr>
        <w:t>;</w:t>
      </w:r>
    </w:p>
    <w:p w14:paraId="22D62461" w14:textId="2755F56D" w:rsidR="003B3E7D" w:rsidRPr="00415C2B" w:rsidRDefault="003B3E7D" w:rsidP="009764A8">
      <w:pPr>
        <w:pStyle w:val="ListParagraph"/>
        <w:numPr>
          <w:ilvl w:val="0"/>
          <w:numId w:val="2"/>
        </w:numPr>
        <w:ind w:left="426" w:hanging="284"/>
        <w:rPr>
          <w:rFonts w:ascii="TT Hoves Light" w:hAnsi="TT Hoves Light"/>
        </w:rPr>
      </w:pPr>
      <w:r w:rsidRPr="00415C2B">
        <w:rPr>
          <w:rFonts w:ascii="TT Hoves Light" w:hAnsi="TT Hoves Light" w:cs="Arial"/>
          <w:color w:val="000000"/>
          <w:sz w:val="20"/>
          <w:szCs w:val="20"/>
        </w:rPr>
        <w:t xml:space="preserve">The current policy and approach with regards to </w:t>
      </w:r>
      <w:r w:rsidRPr="00415C2B">
        <w:rPr>
          <w:rFonts w:ascii="TT Hoves Light" w:hAnsi="TT Hoves Light" w:cs="Arial"/>
          <w:sz w:val="20"/>
          <w:szCs w:val="20"/>
        </w:rPr>
        <w:t xml:space="preserve">Environmental, Social and Governance (ESG) factors </w:t>
      </w:r>
      <w:r w:rsidRPr="00415C2B">
        <w:rPr>
          <w:rFonts w:ascii="TT Hoves Light" w:hAnsi="TT Hoves Light" w:cs="Arial"/>
          <w:color w:val="000000"/>
          <w:sz w:val="20"/>
          <w:szCs w:val="20"/>
        </w:rPr>
        <w:t>and the actions taken with managers on managing ESG risks</w:t>
      </w:r>
      <w:r w:rsidR="00585AAD">
        <w:rPr>
          <w:rFonts w:ascii="TT Hoves Light" w:hAnsi="TT Hoves Light" w:cs="Arial"/>
          <w:color w:val="000000"/>
          <w:sz w:val="20"/>
          <w:szCs w:val="20"/>
        </w:rPr>
        <w:t>; and</w:t>
      </w:r>
    </w:p>
    <w:p w14:paraId="0C3E6ACB" w14:textId="6699B2D3" w:rsidR="003B3E7D" w:rsidRPr="00415C2B" w:rsidRDefault="003B3E7D" w:rsidP="009764A8">
      <w:pPr>
        <w:pStyle w:val="ListParagraph"/>
        <w:numPr>
          <w:ilvl w:val="0"/>
          <w:numId w:val="2"/>
        </w:numPr>
        <w:ind w:left="426" w:hanging="284"/>
        <w:rPr>
          <w:rFonts w:ascii="TT Hoves Light" w:hAnsi="TT Hoves Light"/>
        </w:rPr>
      </w:pPr>
      <w:r w:rsidRPr="00415C2B">
        <w:rPr>
          <w:rFonts w:ascii="TT Hoves Light" w:hAnsi="TT Hoves Light" w:cs="Arial"/>
          <w:color w:val="000000"/>
          <w:sz w:val="20"/>
          <w:szCs w:val="20"/>
        </w:rPr>
        <w:t xml:space="preserve">The extent to which the Trustee has followed policies on engagement, covering engagement actions with its fund managers and in turn the engagement activity of the fund managers with the companies </w:t>
      </w:r>
      <w:r w:rsidR="00585AAD">
        <w:rPr>
          <w:rFonts w:ascii="TT Hoves Light" w:hAnsi="TT Hoves Light" w:cs="Arial"/>
          <w:color w:val="000000"/>
          <w:sz w:val="20"/>
          <w:szCs w:val="20"/>
        </w:rPr>
        <w:t xml:space="preserve">in which </w:t>
      </w:r>
      <w:r w:rsidRPr="00415C2B">
        <w:rPr>
          <w:rFonts w:ascii="TT Hoves Light" w:hAnsi="TT Hoves Light" w:cs="Arial"/>
          <w:color w:val="000000"/>
          <w:sz w:val="20"/>
          <w:szCs w:val="20"/>
        </w:rPr>
        <w:t>they invest</w:t>
      </w:r>
      <w:r w:rsidR="00585AAD">
        <w:rPr>
          <w:rFonts w:ascii="TT Hoves Light" w:hAnsi="TT Hoves Light" w:cs="Arial"/>
          <w:color w:val="000000"/>
          <w:sz w:val="20"/>
          <w:szCs w:val="20"/>
        </w:rPr>
        <w:t>.</w:t>
      </w:r>
    </w:p>
    <w:p w14:paraId="5193A125" w14:textId="77777777" w:rsidR="003B3E7D" w:rsidRPr="00415C2B" w:rsidRDefault="003B3E7D" w:rsidP="007315F1">
      <w:pPr>
        <w:pStyle w:val="ListParagraph"/>
        <w:ind w:left="0" w:hanging="720"/>
        <w:rPr>
          <w:rFonts w:ascii="TT Hoves Light" w:hAnsi="TT Hoves Light"/>
        </w:rPr>
      </w:pPr>
      <w:r w:rsidRPr="00415C2B">
        <w:rPr>
          <w:rFonts w:ascii="TT Hoves Light" w:hAnsi="TT Hoves Light" w:cs="Arial"/>
          <w:b/>
          <w:bCs/>
          <w:color w:val="000000"/>
          <w:sz w:val="20"/>
          <w:szCs w:val="20"/>
        </w:rPr>
        <w:t> </w:t>
      </w:r>
    </w:p>
    <w:p w14:paraId="34B982E8" w14:textId="77777777" w:rsidR="007E0ECB" w:rsidRPr="007E0ECB" w:rsidRDefault="007E0ECB" w:rsidP="007E0ECB">
      <w:pPr>
        <w:pStyle w:val="Normal6ptafter"/>
        <w:spacing w:before="240"/>
        <w:rPr>
          <w:rFonts w:ascii="TT Hoves Medium" w:eastAsia="Times New Roman" w:hAnsi="TT Hoves Medium" w:cs="Arial"/>
          <w:color w:val="000000"/>
          <w:sz w:val="20"/>
          <w:szCs w:val="20"/>
        </w:rPr>
      </w:pPr>
      <w:r w:rsidRPr="001D75E1">
        <w:rPr>
          <w:rFonts w:ascii="TT Hoves Medium" w:eastAsia="Times New Roman" w:hAnsi="TT Hoves Medium" w:cs="Arial"/>
          <w:color w:val="000000"/>
          <w:sz w:val="20"/>
          <w:szCs w:val="20"/>
        </w:rPr>
        <w:t>Implementation Statement</w:t>
      </w:r>
    </w:p>
    <w:p w14:paraId="18432CBA" w14:textId="5D5F5F11" w:rsidR="00020F51" w:rsidRDefault="00020F51" w:rsidP="007315F1">
      <w:pPr>
        <w:rPr>
          <w:rFonts w:ascii="TT Hoves Light" w:hAnsi="TT Hoves Light" w:cs="Arial"/>
          <w:color w:val="000000"/>
          <w:sz w:val="20"/>
          <w:szCs w:val="20"/>
        </w:rPr>
      </w:pPr>
      <w:r w:rsidRPr="00020F51">
        <w:rPr>
          <w:rFonts w:ascii="TT Hoves Light" w:hAnsi="TT Hoves Light" w:cs="Arial"/>
          <w:color w:val="000000"/>
          <w:sz w:val="20"/>
          <w:szCs w:val="20"/>
        </w:rPr>
        <w:t xml:space="preserve">This report demonstrates that </w:t>
      </w:r>
      <w:r w:rsidR="00B468EA">
        <w:rPr>
          <w:rFonts w:ascii="TT Hoves Light" w:hAnsi="TT Hoves Light" w:cs="Arial"/>
          <w:color w:val="000000"/>
          <w:sz w:val="20"/>
          <w:szCs w:val="20"/>
        </w:rPr>
        <w:t>t</w:t>
      </w:r>
      <w:r w:rsidR="00DD3BC3" w:rsidRPr="00DD3BC3">
        <w:rPr>
          <w:rFonts w:ascii="TT Hoves Light" w:hAnsi="TT Hoves Light" w:cs="Arial"/>
          <w:color w:val="000000"/>
          <w:sz w:val="20"/>
          <w:szCs w:val="20"/>
        </w:rPr>
        <w:t xml:space="preserve">he </w:t>
      </w:r>
      <w:r w:rsidR="007C26E1">
        <w:rPr>
          <w:rFonts w:ascii="TT Hoves Light" w:hAnsi="TT Hoves Light" w:cs="Arial"/>
          <w:color w:val="000000"/>
          <w:sz w:val="20"/>
          <w:szCs w:val="20"/>
        </w:rPr>
        <w:t>Adams</w:t>
      </w:r>
      <w:r w:rsidR="00592301">
        <w:rPr>
          <w:rFonts w:ascii="TT Hoves Light" w:hAnsi="TT Hoves Light" w:cs="Arial"/>
          <w:color w:val="000000"/>
          <w:sz w:val="20"/>
          <w:szCs w:val="20"/>
        </w:rPr>
        <w:t xml:space="preserve"> Foods Limited Pension &amp; Assurance Scheme </w:t>
      </w:r>
      <w:r w:rsidRPr="00020F51">
        <w:rPr>
          <w:rFonts w:ascii="TT Hoves Light" w:hAnsi="TT Hoves Light" w:cs="Arial"/>
          <w:color w:val="000000"/>
          <w:sz w:val="20"/>
          <w:szCs w:val="20"/>
        </w:rPr>
        <w:t>has adhered to its investment principles and its policies for managing financially material considerations including ESG factors and climate change.</w:t>
      </w:r>
    </w:p>
    <w:p w14:paraId="1B4A1FD5" w14:textId="77777777" w:rsidR="00585AAD" w:rsidRDefault="00585AAD" w:rsidP="007315F1">
      <w:pPr>
        <w:rPr>
          <w:rFonts w:ascii="TT Hoves Light" w:hAnsi="TT Hoves Light" w:cs="Arial"/>
          <w:color w:val="000000"/>
          <w:sz w:val="20"/>
          <w:szCs w:val="20"/>
        </w:rPr>
      </w:pPr>
    </w:p>
    <w:p w14:paraId="2A1235AC" w14:textId="38F61227" w:rsidR="007E4818" w:rsidRDefault="007E4818">
      <w:pPr>
        <w:spacing w:after="160" w:line="259" w:lineRule="auto"/>
        <w:rPr>
          <w:rFonts w:ascii="TT Hoves Medium" w:hAnsi="TT Hoves Medium" w:cs="Arial"/>
          <w:color w:val="000000"/>
          <w:sz w:val="20"/>
          <w:szCs w:val="20"/>
        </w:rPr>
      </w:pPr>
      <w:r>
        <w:rPr>
          <w:rFonts w:ascii="TT Hoves Medium" w:hAnsi="TT Hoves Medium" w:cs="Arial"/>
          <w:color w:val="000000"/>
          <w:sz w:val="20"/>
          <w:szCs w:val="20"/>
        </w:rPr>
        <w:br w:type="page"/>
      </w:r>
    </w:p>
    <w:p w14:paraId="409462FF" w14:textId="6610C84E" w:rsidR="00415C2B" w:rsidRPr="00415C2B" w:rsidRDefault="00415C2B" w:rsidP="007315F1">
      <w:pPr>
        <w:rPr>
          <w:rFonts w:ascii="TT Hoves Medium" w:hAnsi="TT Hoves Medium" w:cs="Arial"/>
          <w:color w:val="000000"/>
          <w:sz w:val="20"/>
          <w:szCs w:val="20"/>
        </w:rPr>
      </w:pPr>
      <w:r w:rsidRPr="00415C2B">
        <w:rPr>
          <w:rFonts w:ascii="TT Hoves Medium" w:hAnsi="TT Hoves Medium" w:cs="Arial"/>
          <w:color w:val="000000"/>
          <w:sz w:val="20"/>
          <w:szCs w:val="20"/>
        </w:rPr>
        <w:lastRenderedPageBreak/>
        <w:t xml:space="preserve">Managing risks </w:t>
      </w:r>
    </w:p>
    <w:p w14:paraId="1445A0F5" w14:textId="77777777" w:rsidR="00415C2B" w:rsidRPr="001A0CF7" w:rsidRDefault="00415C2B">
      <w:pPr>
        <w:rPr>
          <w:rFonts w:ascii="TT Hoves Light" w:hAnsi="TT Hoves Light"/>
        </w:rPr>
      </w:pPr>
    </w:p>
    <w:tbl>
      <w:tblPr>
        <w:tblStyle w:val="IsioDarkHeader"/>
        <w:tblW w:w="9286" w:type="dxa"/>
        <w:tblLook w:val="04A0" w:firstRow="1" w:lastRow="0" w:firstColumn="1" w:lastColumn="0" w:noHBand="0" w:noVBand="1"/>
      </w:tblPr>
      <w:tblGrid>
        <w:gridCol w:w="2051"/>
        <w:gridCol w:w="2458"/>
        <w:gridCol w:w="2081"/>
        <w:gridCol w:w="2696"/>
      </w:tblGrid>
      <w:tr w:rsidR="00585AAD" w14:paraId="418CE7B7" w14:textId="77777777" w:rsidTr="008E78B2">
        <w:trPr>
          <w:cnfStyle w:val="100000000000" w:firstRow="1" w:lastRow="0" w:firstColumn="0" w:lastColumn="0" w:oddVBand="0" w:evenVBand="0" w:oddHBand="0" w:evenHBand="0" w:firstRowFirstColumn="0" w:firstRowLastColumn="0" w:lastRowFirstColumn="0" w:lastRowLastColumn="0"/>
          <w:trHeight w:val="672"/>
        </w:trPr>
        <w:tc>
          <w:tcPr>
            <w:tcW w:w="2051" w:type="dxa"/>
            <w:tcBorders>
              <w:bottom w:val="nil"/>
            </w:tcBorders>
            <w:shd w:val="clear" w:color="auto" w:fill="00BA8D"/>
            <w:vAlign w:val="center"/>
          </w:tcPr>
          <w:p w14:paraId="3CDE1229" w14:textId="77777777" w:rsidR="000E38C0" w:rsidRPr="000E38C0" w:rsidRDefault="000E38C0" w:rsidP="00860DE3">
            <w:pPr>
              <w:pStyle w:val="Normal6ptafter"/>
              <w:rPr>
                <w:rStyle w:val="TTHovesMedium"/>
                <w:rFonts w:ascii="TT Hoves Light" w:hAnsi="TT Hoves Light"/>
                <w:color w:val="FFFFFF" w:themeColor="background1"/>
              </w:rPr>
            </w:pPr>
            <w:r w:rsidRPr="000E38C0">
              <w:rPr>
                <w:rStyle w:val="TTHovesMedium"/>
                <w:rFonts w:ascii="TT Hoves Light" w:hAnsi="TT Hoves Light"/>
                <w:color w:val="FFFFFF" w:themeColor="background1"/>
              </w:rPr>
              <w:t>Risk / Policy</w:t>
            </w:r>
            <w:r w:rsidRPr="000E38C0">
              <w:rPr>
                <w:rFonts w:ascii="TT Hoves Light" w:hAnsi="TT Hoves Light"/>
                <w:noProof/>
                <w:color w:val="FFFFFF" w:themeColor="background1"/>
                <w:lang w:eastAsia="en-GB"/>
              </w:rPr>
              <w:t xml:space="preserve"> </w:t>
            </w:r>
          </w:p>
        </w:tc>
        <w:tc>
          <w:tcPr>
            <w:tcW w:w="2458" w:type="dxa"/>
            <w:shd w:val="clear" w:color="auto" w:fill="00BA8D"/>
            <w:vAlign w:val="center"/>
          </w:tcPr>
          <w:p w14:paraId="2E6B7D0C" w14:textId="77777777" w:rsidR="000E38C0" w:rsidRPr="000E38C0" w:rsidRDefault="000E38C0" w:rsidP="00860DE3">
            <w:pPr>
              <w:pStyle w:val="Normal6ptafter"/>
              <w:rPr>
                <w:rStyle w:val="TTHovesMedium"/>
                <w:rFonts w:ascii="TT Hoves Light" w:hAnsi="TT Hoves Light"/>
                <w:color w:val="FFFFFF" w:themeColor="background1"/>
              </w:rPr>
            </w:pPr>
            <w:r w:rsidRPr="000E38C0">
              <w:rPr>
                <w:rStyle w:val="TTHovesMedium"/>
                <w:rFonts w:ascii="TT Hoves Light" w:hAnsi="TT Hoves Light"/>
                <w:color w:val="FFFFFF" w:themeColor="background1"/>
              </w:rPr>
              <w:t>Definition</w:t>
            </w:r>
          </w:p>
        </w:tc>
        <w:tc>
          <w:tcPr>
            <w:tcW w:w="2081" w:type="dxa"/>
            <w:shd w:val="clear" w:color="auto" w:fill="00BA8D"/>
            <w:vAlign w:val="center"/>
          </w:tcPr>
          <w:p w14:paraId="6CA8FA24" w14:textId="77777777" w:rsidR="000E38C0" w:rsidRPr="000E38C0" w:rsidRDefault="000E38C0" w:rsidP="00860DE3">
            <w:pPr>
              <w:pStyle w:val="Normal6ptafter"/>
              <w:rPr>
                <w:rStyle w:val="TTHovesMedium"/>
                <w:rFonts w:ascii="TT Hoves Light" w:hAnsi="TT Hoves Light"/>
                <w:color w:val="FFFFFF" w:themeColor="background1"/>
              </w:rPr>
            </w:pPr>
            <w:r w:rsidRPr="000E38C0">
              <w:rPr>
                <w:rStyle w:val="TTHovesMedium"/>
                <w:rFonts w:ascii="TT Hoves Light" w:hAnsi="TT Hoves Light"/>
                <w:color w:val="FFFFFF" w:themeColor="background1"/>
              </w:rPr>
              <w:t>Policy</w:t>
            </w:r>
          </w:p>
        </w:tc>
        <w:tc>
          <w:tcPr>
            <w:tcW w:w="2696" w:type="dxa"/>
            <w:shd w:val="clear" w:color="auto" w:fill="00BA8D"/>
            <w:vAlign w:val="center"/>
          </w:tcPr>
          <w:p w14:paraId="29912D8B" w14:textId="77777777" w:rsidR="000E38C0" w:rsidRPr="000E38C0" w:rsidRDefault="000E38C0" w:rsidP="00860DE3">
            <w:pPr>
              <w:pStyle w:val="Normal6ptafter"/>
              <w:rPr>
                <w:rStyle w:val="TTHovesMedium"/>
                <w:rFonts w:ascii="TT Hoves Light" w:hAnsi="TT Hoves Light"/>
                <w:color w:val="FFFFFF" w:themeColor="background1"/>
              </w:rPr>
            </w:pPr>
            <w:r w:rsidRPr="000E38C0">
              <w:rPr>
                <w:rStyle w:val="TTHovesMedium"/>
                <w:rFonts w:ascii="TT Hoves Light" w:hAnsi="TT Hoves Light"/>
                <w:color w:val="FFFFFF" w:themeColor="background1"/>
              </w:rPr>
              <w:t>Actions</w:t>
            </w:r>
          </w:p>
        </w:tc>
      </w:tr>
      <w:tr w:rsidR="003B1FFD" w:rsidRPr="003B1FFD" w14:paraId="18309D2E" w14:textId="77777777" w:rsidTr="008E78B2">
        <w:trPr>
          <w:trHeight w:val="1332"/>
        </w:trPr>
        <w:tc>
          <w:tcPr>
            <w:tcW w:w="2051" w:type="dxa"/>
            <w:tcBorders>
              <w:top w:val="nil"/>
              <w:bottom w:val="single" w:sz="4" w:space="0" w:color="FFFFFF" w:themeColor="background1"/>
            </w:tcBorders>
            <w:shd w:val="clear" w:color="auto" w:fill="E7E6E6" w:themeFill="background2"/>
            <w:vAlign w:val="center"/>
          </w:tcPr>
          <w:p w14:paraId="55A2367D" w14:textId="15F72379" w:rsidR="000E38C0" w:rsidRPr="000E38C0" w:rsidRDefault="000E38C0" w:rsidP="00860DE3">
            <w:pPr>
              <w:pStyle w:val="Normal6ptafter"/>
              <w:rPr>
                <w:rFonts w:ascii="TT Hoves Light" w:hAnsi="TT Hoves Light"/>
              </w:rPr>
            </w:pPr>
            <w:r w:rsidRPr="000E38C0">
              <w:rPr>
                <w:rFonts w:ascii="TT Hoves Light" w:hAnsi="TT Hoves Light"/>
              </w:rPr>
              <w:t xml:space="preserve">Interest rates </w:t>
            </w:r>
            <w:r w:rsidR="008E78B2">
              <w:rPr>
                <w:rFonts w:ascii="TT Hoves Light" w:hAnsi="TT Hoves Light"/>
              </w:rPr>
              <w:t xml:space="preserve">and </w:t>
            </w:r>
            <w:r w:rsidR="007C26E1">
              <w:rPr>
                <w:rFonts w:ascii="TT Hoves Light" w:hAnsi="TT Hoves Light"/>
              </w:rPr>
              <w:t>I</w:t>
            </w:r>
            <w:r w:rsidR="008E78B2">
              <w:rPr>
                <w:rFonts w:ascii="TT Hoves Light" w:hAnsi="TT Hoves Light"/>
              </w:rPr>
              <w:t>nflation</w:t>
            </w:r>
          </w:p>
        </w:tc>
        <w:tc>
          <w:tcPr>
            <w:tcW w:w="2458" w:type="dxa"/>
            <w:tcBorders>
              <w:top w:val="single" w:sz="4" w:space="0" w:color="4472C4" w:themeColor="accent1"/>
              <w:bottom w:val="single" w:sz="4" w:space="0" w:color="44546A" w:themeColor="text2"/>
            </w:tcBorders>
            <w:vAlign w:val="center"/>
          </w:tcPr>
          <w:p w14:paraId="4B113F89" w14:textId="21B4C06F" w:rsidR="000E38C0" w:rsidRPr="000E38C0" w:rsidRDefault="000E38C0" w:rsidP="00860DE3">
            <w:pPr>
              <w:pStyle w:val="Normal6ptafter"/>
              <w:rPr>
                <w:rFonts w:ascii="TT Hoves Light" w:hAnsi="TT Hoves Light"/>
              </w:rPr>
            </w:pPr>
            <w:r w:rsidRPr="000E38C0">
              <w:rPr>
                <w:rFonts w:ascii="TT Hoves Light" w:hAnsi="TT Hoves Light"/>
              </w:rPr>
              <w:t>The risk of mismatch between the value of the Scheme assets and present value of liabilities from changes in interest rates</w:t>
            </w:r>
            <w:r w:rsidR="008E78B2">
              <w:rPr>
                <w:rFonts w:ascii="TT Hoves Light" w:hAnsi="TT Hoves Light"/>
              </w:rPr>
              <w:t xml:space="preserve"> and inflation expectations.</w:t>
            </w:r>
          </w:p>
        </w:tc>
        <w:tc>
          <w:tcPr>
            <w:tcW w:w="2081" w:type="dxa"/>
            <w:tcBorders>
              <w:top w:val="single" w:sz="4" w:space="0" w:color="4472C4" w:themeColor="accent1"/>
              <w:bottom w:val="single" w:sz="4" w:space="0" w:color="44546A" w:themeColor="text2"/>
            </w:tcBorders>
            <w:vAlign w:val="center"/>
          </w:tcPr>
          <w:p w14:paraId="6FBF5AB6" w14:textId="41105691" w:rsidR="000E38C0" w:rsidRPr="000E38C0" w:rsidRDefault="00493C59" w:rsidP="00860DE3">
            <w:pPr>
              <w:pStyle w:val="Normal6ptafter"/>
              <w:rPr>
                <w:rFonts w:ascii="TT Hoves Light" w:hAnsi="TT Hoves Light"/>
              </w:rPr>
            </w:pPr>
            <w:r>
              <w:rPr>
                <w:rFonts w:ascii="TT Hoves Light" w:hAnsi="TT Hoves Light"/>
              </w:rPr>
              <w:t>To invest in matching assets that move in line with the present value of the Scheme’s liabilities.</w:t>
            </w:r>
            <w:r w:rsidR="000E38C0" w:rsidRPr="000E38C0">
              <w:rPr>
                <w:rFonts w:ascii="TT Hoves Light" w:hAnsi="TT Hoves Light"/>
              </w:rPr>
              <w:t> </w:t>
            </w:r>
          </w:p>
        </w:tc>
        <w:tc>
          <w:tcPr>
            <w:tcW w:w="2696" w:type="dxa"/>
            <w:tcBorders>
              <w:top w:val="single" w:sz="4" w:space="0" w:color="4472C4" w:themeColor="accent1"/>
              <w:bottom w:val="single" w:sz="4" w:space="0" w:color="44546A" w:themeColor="text2"/>
            </w:tcBorders>
            <w:shd w:val="clear" w:color="auto" w:fill="auto"/>
            <w:vAlign w:val="center"/>
          </w:tcPr>
          <w:p w14:paraId="1B07E032" w14:textId="1CFFE4F3" w:rsidR="000E38C0" w:rsidRPr="00A22769" w:rsidRDefault="001328DA" w:rsidP="003B1FFD">
            <w:pPr>
              <w:pStyle w:val="Normal6ptafter"/>
              <w:rPr>
                <w:rFonts w:ascii="TT Hoves Light" w:hAnsi="TT Hoves Light"/>
                <w:highlight w:val="yellow"/>
              </w:rPr>
            </w:pPr>
            <w:r w:rsidRPr="00A22769">
              <w:rPr>
                <w:rFonts w:ascii="TT Hoves Light" w:hAnsi="TT Hoves Light"/>
              </w:rPr>
              <w:t>The Scheme invests i</w:t>
            </w:r>
            <w:r w:rsidR="001700F2" w:rsidRPr="00A22769">
              <w:rPr>
                <w:rFonts w:ascii="TT Hoves Light" w:hAnsi="TT Hoves Light"/>
              </w:rPr>
              <w:t>n</w:t>
            </w:r>
            <w:r w:rsidRPr="00A22769">
              <w:rPr>
                <w:rFonts w:ascii="TT Hoves Light" w:hAnsi="TT Hoves Light"/>
              </w:rPr>
              <w:t xml:space="preserve"> </w:t>
            </w:r>
            <w:r w:rsidR="007C26E1" w:rsidRPr="00A22769">
              <w:rPr>
                <w:rFonts w:ascii="TT Hoves Light" w:hAnsi="TT Hoves Light"/>
              </w:rPr>
              <w:t>C</w:t>
            </w:r>
            <w:r w:rsidR="003B1FFD" w:rsidRPr="00A22769">
              <w:rPr>
                <w:rFonts w:ascii="TT Hoves Light" w:hAnsi="TT Hoves Light"/>
              </w:rPr>
              <w:t xml:space="preserve">orporate </w:t>
            </w:r>
            <w:r w:rsidR="007C26E1" w:rsidRPr="00A22769">
              <w:rPr>
                <w:rFonts w:ascii="TT Hoves Light" w:hAnsi="TT Hoves Light"/>
              </w:rPr>
              <w:t>B</w:t>
            </w:r>
            <w:r w:rsidR="003B1FFD" w:rsidRPr="00A22769">
              <w:rPr>
                <w:rFonts w:ascii="TT Hoves Light" w:hAnsi="TT Hoves Light"/>
              </w:rPr>
              <w:t>ond</w:t>
            </w:r>
            <w:r w:rsidR="007C26E1" w:rsidRPr="00A22769">
              <w:rPr>
                <w:rFonts w:ascii="TT Hoves Light" w:hAnsi="TT Hoves Light"/>
              </w:rPr>
              <w:t>s</w:t>
            </w:r>
            <w:r w:rsidR="001700F2" w:rsidRPr="00A22769">
              <w:rPr>
                <w:rFonts w:ascii="TT Hoves Light" w:hAnsi="TT Hoves Light"/>
              </w:rPr>
              <w:t>,</w:t>
            </w:r>
            <w:r w:rsidR="007C26E1" w:rsidRPr="00A22769">
              <w:rPr>
                <w:rFonts w:ascii="TT Hoves Light" w:hAnsi="TT Hoves Light"/>
              </w:rPr>
              <w:t xml:space="preserve"> Equity-Linked LDI,</w:t>
            </w:r>
            <w:r w:rsidR="001700F2" w:rsidRPr="00A22769">
              <w:rPr>
                <w:rFonts w:ascii="TT Hoves Light" w:hAnsi="TT Hoves Light"/>
              </w:rPr>
              <w:t xml:space="preserve"> </w:t>
            </w:r>
            <w:r w:rsidR="007C26E1" w:rsidRPr="00A22769">
              <w:rPr>
                <w:rFonts w:ascii="TT Hoves Light" w:hAnsi="TT Hoves Light"/>
              </w:rPr>
              <w:t>G</w:t>
            </w:r>
            <w:r w:rsidR="001700F2" w:rsidRPr="00A22769">
              <w:rPr>
                <w:rFonts w:ascii="TT Hoves Light" w:hAnsi="TT Hoves Light"/>
              </w:rPr>
              <w:t xml:space="preserve">ilt and </w:t>
            </w:r>
            <w:r w:rsidR="007C26E1" w:rsidRPr="00A22769">
              <w:rPr>
                <w:rFonts w:ascii="TT Hoves Light" w:hAnsi="TT Hoves Light"/>
              </w:rPr>
              <w:t>I</w:t>
            </w:r>
            <w:r w:rsidR="001700F2" w:rsidRPr="00A22769">
              <w:rPr>
                <w:rFonts w:ascii="TT Hoves Light" w:hAnsi="TT Hoves Light"/>
              </w:rPr>
              <w:t>ndex</w:t>
            </w:r>
            <w:r w:rsidR="007C26E1" w:rsidRPr="00A22769">
              <w:rPr>
                <w:rFonts w:ascii="TT Hoves Light" w:hAnsi="TT Hoves Light"/>
              </w:rPr>
              <w:t>-L</w:t>
            </w:r>
            <w:r w:rsidR="001700F2" w:rsidRPr="00A22769">
              <w:rPr>
                <w:rFonts w:ascii="TT Hoves Light" w:hAnsi="TT Hoves Light"/>
              </w:rPr>
              <w:t xml:space="preserve">inked </w:t>
            </w:r>
            <w:r w:rsidR="007C26E1" w:rsidRPr="00A22769">
              <w:rPr>
                <w:rFonts w:ascii="TT Hoves Light" w:hAnsi="TT Hoves Light"/>
              </w:rPr>
              <w:t>G</w:t>
            </w:r>
            <w:r w:rsidR="001700F2" w:rsidRPr="00A22769">
              <w:rPr>
                <w:rFonts w:ascii="TT Hoves Light" w:hAnsi="TT Hoves Light"/>
              </w:rPr>
              <w:t xml:space="preserve">ilt </w:t>
            </w:r>
            <w:r w:rsidR="003B1FFD" w:rsidRPr="00A22769">
              <w:rPr>
                <w:rFonts w:ascii="TT Hoves Light" w:hAnsi="TT Hoves Light"/>
              </w:rPr>
              <w:t xml:space="preserve">funds </w:t>
            </w:r>
            <w:r w:rsidR="007C26E1" w:rsidRPr="00A22769">
              <w:rPr>
                <w:rFonts w:ascii="TT Hoves Light" w:hAnsi="TT Hoves Light"/>
              </w:rPr>
              <w:t>which aim to hedge part of the Scheme’s inflation and interest rate risk.</w:t>
            </w:r>
          </w:p>
        </w:tc>
      </w:tr>
      <w:tr w:rsidR="000E38C0" w:rsidRPr="00EC5DE4" w14:paraId="6127CAFF" w14:textId="77777777" w:rsidTr="008E78B2">
        <w:trPr>
          <w:trHeight w:val="1457"/>
        </w:trPr>
        <w:tc>
          <w:tcPr>
            <w:tcW w:w="2051" w:type="dxa"/>
            <w:tcBorders>
              <w:top w:val="single" w:sz="4" w:space="0" w:color="FFFFFF" w:themeColor="background1"/>
              <w:bottom w:val="single" w:sz="4" w:space="0" w:color="FFFFFF" w:themeColor="background1"/>
            </w:tcBorders>
            <w:shd w:val="clear" w:color="auto" w:fill="E7E6E6" w:themeFill="background2"/>
            <w:vAlign w:val="center"/>
          </w:tcPr>
          <w:p w14:paraId="6398F8EB" w14:textId="2D53D20B" w:rsidR="000E38C0" w:rsidRPr="000E38C0" w:rsidRDefault="00FD163A" w:rsidP="00860DE3">
            <w:pPr>
              <w:pStyle w:val="Normal6ptafter"/>
              <w:rPr>
                <w:rFonts w:ascii="TT Hoves Light" w:hAnsi="TT Hoves Light"/>
              </w:rPr>
            </w:pPr>
            <w:r>
              <w:rPr>
                <w:rFonts w:ascii="TT Hoves Light" w:hAnsi="TT Hoves Light"/>
              </w:rPr>
              <w:t xml:space="preserve"> </w:t>
            </w:r>
            <w:r w:rsidR="000E38C0" w:rsidRPr="000E38C0">
              <w:rPr>
                <w:rFonts w:ascii="TT Hoves Light" w:hAnsi="TT Hoves Light"/>
              </w:rPr>
              <w:t>Liquidity</w:t>
            </w:r>
          </w:p>
        </w:tc>
        <w:tc>
          <w:tcPr>
            <w:tcW w:w="2458" w:type="dxa"/>
            <w:tcBorders>
              <w:top w:val="single" w:sz="4" w:space="0" w:color="44546A" w:themeColor="text2"/>
              <w:bottom w:val="single" w:sz="4" w:space="0" w:color="44546A" w:themeColor="text2"/>
            </w:tcBorders>
            <w:vAlign w:val="center"/>
          </w:tcPr>
          <w:p w14:paraId="48AB49A2" w14:textId="00FDDFB9" w:rsidR="000E38C0" w:rsidRPr="000E38C0" w:rsidRDefault="000E38C0" w:rsidP="00860DE3">
            <w:pPr>
              <w:pStyle w:val="Normal6ptafter"/>
              <w:rPr>
                <w:rFonts w:ascii="TT Hoves Light" w:hAnsi="TT Hoves Light"/>
              </w:rPr>
            </w:pPr>
            <w:r w:rsidRPr="000E38C0">
              <w:rPr>
                <w:rFonts w:ascii="TT Hoves Light" w:hAnsi="TT Hoves Light"/>
              </w:rPr>
              <w:t xml:space="preserve">Difficulties in raising sufficient cash when needed without adversely impacting the fair market value of the investment. </w:t>
            </w:r>
          </w:p>
        </w:tc>
        <w:tc>
          <w:tcPr>
            <w:tcW w:w="2081" w:type="dxa"/>
            <w:tcBorders>
              <w:top w:val="single" w:sz="4" w:space="0" w:color="44546A" w:themeColor="text2"/>
              <w:bottom w:val="single" w:sz="4" w:space="0" w:color="44546A" w:themeColor="text2"/>
            </w:tcBorders>
            <w:vAlign w:val="center"/>
          </w:tcPr>
          <w:p w14:paraId="6E34AA7C" w14:textId="6A2353E6" w:rsidR="000E38C0" w:rsidRPr="000E38C0" w:rsidRDefault="008E78B2" w:rsidP="00860DE3">
            <w:pPr>
              <w:pStyle w:val="Normal6ptafter"/>
              <w:rPr>
                <w:rFonts w:ascii="TT Hoves Light" w:hAnsi="TT Hoves Light"/>
              </w:rPr>
            </w:pPr>
            <w:r>
              <w:rPr>
                <w:rFonts w:ascii="TT Hoves Light" w:hAnsi="TT Hoves Light"/>
              </w:rPr>
              <w:t>To maintain a sufficient allocation to liquid assets so that there is a prudent buffer to pay members benefits as they fall due (including transfer values), and to provide collateral to the LDI manager.</w:t>
            </w:r>
          </w:p>
        </w:tc>
        <w:tc>
          <w:tcPr>
            <w:tcW w:w="2696" w:type="dxa"/>
            <w:tcBorders>
              <w:top w:val="single" w:sz="4" w:space="0" w:color="44546A" w:themeColor="text2"/>
              <w:bottom w:val="single" w:sz="4" w:space="0" w:color="44546A" w:themeColor="text2"/>
            </w:tcBorders>
            <w:vAlign w:val="center"/>
          </w:tcPr>
          <w:p w14:paraId="757D40B1" w14:textId="08CE0AC2" w:rsidR="000E38C0" w:rsidRPr="00686119" w:rsidRDefault="003B1FFD" w:rsidP="00860DE3">
            <w:pPr>
              <w:pStyle w:val="Normal6ptafter"/>
              <w:rPr>
                <w:rFonts w:ascii="TT Hoves Light" w:hAnsi="TT Hoves Light"/>
              </w:rPr>
            </w:pPr>
            <w:r w:rsidRPr="00686119">
              <w:rPr>
                <w:rFonts w:ascii="TT Hoves Light" w:hAnsi="TT Hoves Light"/>
              </w:rPr>
              <w:t>T</w:t>
            </w:r>
            <w:r w:rsidR="00245462" w:rsidRPr="00686119">
              <w:rPr>
                <w:rFonts w:ascii="TT Hoves Light" w:hAnsi="TT Hoves Light"/>
              </w:rPr>
              <w:t>he Scheme’s assets</w:t>
            </w:r>
            <w:r w:rsidR="00EC5DE4" w:rsidRPr="00686119">
              <w:rPr>
                <w:rFonts w:ascii="TT Hoves Light" w:hAnsi="TT Hoves Light"/>
              </w:rPr>
              <w:t xml:space="preserve"> are</w:t>
            </w:r>
            <w:r w:rsidR="00245462" w:rsidRPr="00686119">
              <w:rPr>
                <w:rFonts w:ascii="TT Hoves Light" w:hAnsi="TT Hoves Light"/>
              </w:rPr>
              <w:t xml:space="preserve"> </w:t>
            </w:r>
            <w:r w:rsidR="00325405" w:rsidRPr="00686119">
              <w:rPr>
                <w:rFonts w:ascii="TT Hoves Light" w:hAnsi="TT Hoves Light"/>
              </w:rPr>
              <w:t>traded on a daily frequency,</w:t>
            </w:r>
            <w:r w:rsidR="00245462" w:rsidRPr="00686119">
              <w:rPr>
                <w:rFonts w:ascii="TT Hoves Light" w:hAnsi="TT Hoves Light"/>
              </w:rPr>
              <w:t xml:space="preserve"> provid</w:t>
            </w:r>
            <w:r w:rsidR="00325405" w:rsidRPr="00686119">
              <w:rPr>
                <w:rFonts w:ascii="TT Hoves Light" w:hAnsi="TT Hoves Light"/>
              </w:rPr>
              <w:t>ing</w:t>
            </w:r>
            <w:r w:rsidR="00245462" w:rsidRPr="00686119">
              <w:rPr>
                <w:rFonts w:ascii="TT Hoves Light" w:hAnsi="TT Hoves Light"/>
              </w:rPr>
              <w:t xml:space="preserve"> sufficient liquidity,</w:t>
            </w:r>
          </w:p>
        </w:tc>
      </w:tr>
      <w:tr w:rsidR="000E38C0" w:rsidRPr="00EC5DE4" w14:paraId="303EDC0F" w14:textId="77777777" w:rsidTr="008E78B2">
        <w:trPr>
          <w:trHeight w:val="1457"/>
        </w:trPr>
        <w:tc>
          <w:tcPr>
            <w:tcW w:w="2051" w:type="dxa"/>
            <w:tcBorders>
              <w:top w:val="single" w:sz="4" w:space="0" w:color="FFFFFF" w:themeColor="background1"/>
              <w:bottom w:val="single" w:sz="4" w:space="0" w:color="FFFFFF" w:themeColor="background1"/>
            </w:tcBorders>
            <w:shd w:val="clear" w:color="auto" w:fill="E7E6E6" w:themeFill="background2"/>
            <w:vAlign w:val="center"/>
          </w:tcPr>
          <w:p w14:paraId="4EA38CDA" w14:textId="44C0FFAF" w:rsidR="000E38C0" w:rsidRPr="000E38C0" w:rsidRDefault="008E78B2" w:rsidP="00860DE3">
            <w:pPr>
              <w:pStyle w:val="Normal6ptafter"/>
              <w:rPr>
                <w:rFonts w:ascii="TT Hoves Light" w:hAnsi="TT Hoves Light"/>
              </w:rPr>
            </w:pPr>
            <w:r>
              <w:rPr>
                <w:rFonts w:ascii="TT Hoves Light" w:hAnsi="TT Hoves Light"/>
              </w:rPr>
              <w:t>Market</w:t>
            </w:r>
          </w:p>
        </w:tc>
        <w:tc>
          <w:tcPr>
            <w:tcW w:w="2458" w:type="dxa"/>
            <w:tcBorders>
              <w:top w:val="single" w:sz="4" w:space="0" w:color="44546A" w:themeColor="text2"/>
              <w:bottom w:val="single" w:sz="4" w:space="0" w:color="44546A" w:themeColor="text2"/>
            </w:tcBorders>
            <w:vAlign w:val="center"/>
          </w:tcPr>
          <w:p w14:paraId="735F5677" w14:textId="65777602" w:rsidR="000E38C0" w:rsidRPr="000E38C0" w:rsidRDefault="008E78B2" w:rsidP="00860DE3">
            <w:pPr>
              <w:pStyle w:val="Normal6ptafter"/>
              <w:rPr>
                <w:rFonts w:ascii="TT Hoves Light" w:hAnsi="TT Hoves Light"/>
              </w:rPr>
            </w:pPr>
            <w:r>
              <w:rPr>
                <w:rFonts w:ascii="TT Hoves Light" w:hAnsi="TT Hoves Light"/>
              </w:rPr>
              <w:t>Experiencing losses due to factors that affect the overall performance of the financial markets.</w:t>
            </w:r>
          </w:p>
        </w:tc>
        <w:tc>
          <w:tcPr>
            <w:tcW w:w="2081" w:type="dxa"/>
            <w:tcBorders>
              <w:top w:val="single" w:sz="4" w:space="0" w:color="44546A" w:themeColor="text2"/>
              <w:bottom w:val="single" w:sz="4" w:space="0" w:color="44546A" w:themeColor="text2"/>
            </w:tcBorders>
            <w:vAlign w:val="center"/>
          </w:tcPr>
          <w:p w14:paraId="2B851A2E" w14:textId="38035CAE" w:rsidR="000E38C0" w:rsidRPr="000E38C0" w:rsidRDefault="008E78B2" w:rsidP="00860DE3">
            <w:pPr>
              <w:pStyle w:val="Normal6ptafter"/>
              <w:rPr>
                <w:rFonts w:ascii="TT Hoves Light" w:hAnsi="TT Hoves Light"/>
              </w:rPr>
            </w:pPr>
            <w:r>
              <w:rPr>
                <w:rFonts w:ascii="TT Hoves Light" w:hAnsi="TT Hoves Light"/>
              </w:rPr>
              <w:t>To remain appropriately diversified and hedge away from any unrewarded risks, where practicable.</w:t>
            </w:r>
          </w:p>
        </w:tc>
        <w:tc>
          <w:tcPr>
            <w:tcW w:w="2696" w:type="dxa"/>
            <w:tcBorders>
              <w:top w:val="single" w:sz="4" w:space="0" w:color="44546A" w:themeColor="text2"/>
              <w:bottom w:val="single" w:sz="4" w:space="0" w:color="44546A" w:themeColor="text2"/>
            </w:tcBorders>
            <w:vAlign w:val="center"/>
          </w:tcPr>
          <w:p w14:paraId="2C4A0F6F" w14:textId="56FE89D9" w:rsidR="000E38C0" w:rsidRPr="00686119" w:rsidRDefault="000E38C0" w:rsidP="00860DE3">
            <w:pPr>
              <w:pStyle w:val="Normal6ptafter"/>
              <w:rPr>
                <w:rFonts w:ascii="TT Hoves Light" w:hAnsi="TT Hoves Light"/>
              </w:rPr>
            </w:pPr>
          </w:p>
        </w:tc>
      </w:tr>
      <w:tr w:rsidR="000E38C0" w:rsidRPr="002866E3" w14:paraId="6C9AEE1C" w14:textId="77777777" w:rsidTr="008E78B2">
        <w:trPr>
          <w:trHeight w:val="1457"/>
        </w:trPr>
        <w:tc>
          <w:tcPr>
            <w:tcW w:w="2051" w:type="dxa"/>
            <w:tcBorders>
              <w:top w:val="single" w:sz="4" w:space="0" w:color="FFFFFF" w:themeColor="background1"/>
              <w:bottom w:val="single" w:sz="4" w:space="0" w:color="FFFFFF" w:themeColor="background1"/>
            </w:tcBorders>
            <w:shd w:val="clear" w:color="auto" w:fill="E7E6E6" w:themeFill="background2"/>
            <w:vAlign w:val="center"/>
          </w:tcPr>
          <w:p w14:paraId="2A09BC5E" w14:textId="77777777" w:rsidR="000E38C0" w:rsidRPr="000E38C0" w:rsidRDefault="000E38C0" w:rsidP="00860DE3">
            <w:pPr>
              <w:pStyle w:val="Normal6ptafter"/>
              <w:rPr>
                <w:rFonts w:ascii="TT Hoves Light" w:hAnsi="TT Hoves Light"/>
              </w:rPr>
            </w:pPr>
            <w:r w:rsidRPr="000E38C0">
              <w:rPr>
                <w:rFonts w:ascii="TT Hoves Light" w:hAnsi="TT Hoves Light"/>
              </w:rPr>
              <w:t>Credit</w:t>
            </w:r>
          </w:p>
        </w:tc>
        <w:tc>
          <w:tcPr>
            <w:tcW w:w="2458" w:type="dxa"/>
            <w:tcBorders>
              <w:top w:val="single" w:sz="4" w:space="0" w:color="44546A" w:themeColor="text2"/>
              <w:bottom w:val="single" w:sz="4" w:space="0" w:color="44546A" w:themeColor="text2"/>
            </w:tcBorders>
            <w:vAlign w:val="center"/>
          </w:tcPr>
          <w:p w14:paraId="528C3132" w14:textId="77777777" w:rsidR="000E38C0" w:rsidRPr="000E38C0" w:rsidRDefault="000E38C0" w:rsidP="00860DE3">
            <w:pPr>
              <w:pStyle w:val="Normal6ptafter"/>
              <w:rPr>
                <w:rFonts w:ascii="TT Hoves Light" w:hAnsi="TT Hoves Light"/>
              </w:rPr>
            </w:pPr>
            <w:r w:rsidRPr="000E38C0">
              <w:rPr>
                <w:rFonts w:ascii="TT Hoves Light" w:hAnsi="TT Hoves Light"/>
              </w:rPr>
              <w:t>Default on payments due as part of a financial security contract.</w:t>
            </w:r>
          </w:p>
          <w:p w14:paraId="67483D34" w14:textId="77777777" w:rsidR="000E38C0" w:rsidRPr="000E38C0" w:rsidRDefault="000E38C0" w:rsidP="00860DE3">
            <w:pPr>
              <w:pStyle w:val="Normal6ptafter"/>
              <w:rPr>
                <w:rFonts w:ascii="TT Hoves Light" w:hAnsi="TT Hoves Light"/>
              </w:rPr>
            </w:pPr>
            <w:r w:rsidRPr="000E38C0">
              <w:rPr>
                <w:rFonts w:ascii="TT Hoves Light" w:hAnsi="TT Hoves Light"/>
              </w:rPr>
              <w:t> </w:t>
            </w:r>
          </w:p>
        </w:tc>
        <w:tc>
          <w:tcPr>
            <w:tcW w:w="2081" w:type="dxa"/>
            <w:tcBorders>
              <w:top w:val="single" w:sz="4" w:space="0" w:color="44546A" w:themeColor="text2"/>
              <w:bottom w:val="single" w:sz="4" w:space="0" w:color="44546A" w:themeColor="text2"/>
            </w:tcBorders>
            <w:vAlign w:val="center"/>
          </w:tcPr>
          <w:p w14:paraId="5960DF43" w14:textId="10D1BBD1" w:rsidR="000E38C0" w:rsidRPr="000E38C0" w:rsidRDefault="000E38C0" w:rsidP="00860DE3">
            <w:pPr>
              <w:pStyle w:val="Normal6ptafter"/>
              <w:rPr>
                <w:rFonts w:ascii="TT Hoves Light" w:hAnsi="TT Hoves Light"/>
              </w:rPr>
            </w:pPr>
            <w:r w:rsidRPr="000E38C0">
              <w:rPr>
                <w:rFonts w:ascii="TT Hoves Light" w:hAnsi="TT Hoves Light"/>
              </w:rPr>
              <w:t>To diversify this risk by investing in a range of credit markets across different geographies and sectors</w:t>
            </w:r>
            <w:r w:rsidR="002E46BF">
              <w:rPr>
                <w:rFonts w:ascii="TT Hoves Light" w:hAnsi="TT Hoves Light"/>
              </w:rPr>
              <w:t xml:space="preserve"> where possible</w:t>
            </w:r>
          </w:p>
        </w:tc>
        <w:tc>
          <w:tcPr>
            <w:tcW w:w="2696" w:type="dxa"/>
            <w:tcBorders>
              <w:top w:val="single" w:sz="4" w:space="0" w:color="44546A" w:themeColor="text2"/>
              <w:bottom w:val="single" w:sz="4" w:space="0" w:color="44546A" w:themeColor="text2"/>
            </w:tcBorders>
            <w:vAlign w:val="center"/>
          </w:tcPr>
          <w:p w14:paraId="7461F257" w14:textId="43B6A74E" w:rsidR="000E38C0" w:rsidRPr="00686119" w:rsidRDefault="00D52EF0" w:rsidP="00860DE3">
            <w:pPr>
              <w:pStyle w:val="Normal6ptafter"/>
              <w:rPr>
                <w:rFonts w:ascii="TT Hoves Light" w:hAnsi="TT Hoves Light"/>
              </w:rPr>
            </w:pPr>
            <w:r w:rsidRPr="00686119">
              <w:rPr>
                <w:rFonts w:ascii="TT Hoves Light" w:hAnsi="TT Hoves Light"/>
              </w:rPr>
              <w:t xml:space="preserve">The Scheme invests in pooled credit funds which invest </w:t>
            </w:r>
            <w:r w:rsidR="00126CFB" w:rsidRPr="00686119">
              <w:rPr>
                <w:rFonts w:ascii="TT Hoves Light" w:hAnsi="TT Hoves Light"/>
              </w:rPr>
              <w:t>across a variety of geographies and sectors,</w:t>
            </w:r>
            <w:r w:rsidRPr="00686119">
              <w:rPr>
                <w:rFonts w:ascii="TT Hoves Light" w:hAnsi="TT Hoves Light"/>
              </w:rPr>
              <w:t xml:space="preserve"> </w:t>
            </w:r>
            <w:r w:rsidR="00126CFB" w:rsidRPr="00686119">
              <w:rPr>
                <w:rFonts w:ascii="TT Hoves Light" w:hAnsi="TT Hoves Light"/>
              </w:rPr>
              <w:t>diversifying the</w:t>
            </w:r>
            <w:r w:rsidRPr="00686119">
              <w:rPr>
                <w:rFonts w:ascii="TT Hoves Light" w:hAnsi="TT Hoves Light"/>
              </w:rPr>
              <w:t xml:space="preserve"> underlying credit risk.</w:t>
            </w:r>
          </w:p>
        </w:tc>
      </w:tr>
      <w:tr w:rsidR="007C26E1" w:rsidRPr="006D45A2" w14:paraId="051EFA54" w14:textId="77777777" w:rsidTr="008E78B2">
        <w:trPr>
          <w:trHeight w:val="1332"/>
        </w:trPr>
        <w:tc>
          <w:tcPr>
            <w:tcW w:w="2051" w:type="dxa"/>
            <w:tcBorders>
              <w:top w:val="single" w:sz="4" w:space="0" w:color="FFFFFF" w:themeColor="background1"/>
              <w:bottom w:val="single" w:sz="4" w:space="0" w:color="FFFFFF" w:themeColor="background1"/>
            </w:tcBorders>
            <w:shd w:val="clear" w:color="auto" w:fill="E7E6E6" w:themeFill="background2"/>
            <w:vAlign w:val="center"/>
          </w:tcPr>
          <w:p w14:paraId="0EADA7C7" w14:textId="4264E18A" w:rsidR="007C26E1" w:rsidRPr="000E38C0" w:rsidRDefault="007C26E1" w:rsidP="007C26E1">
            <w:pPr>
              <w:pStyle w:val="Normal6ptafter"/>
              <w:rPr>
                <w:rFonts w:ascii="TT Hoves Light" w:hAnsi="TT Hoves Light"/>
              </w:rPr>
            </w:pPr>
            <w:r>
              <w:rPr>
                <w:rFonts w:ascii="TT Hoves Light" w:hAnsi="TT Hoves Light"/>
              </w:rPr>
              <w:t>Environmental, Social and Governance</w:t>
            </w:r>
          </w:p>
        </w:tc>
        <w:tc>
          <w:tcPr>
            <w:tcW w:w="2458" w:type="dxa"/>
            <w:tcBorders>
              <w:top w:val="single" w:sz="4" w:space="0" w:color="44546A" w:themeColor="text2"/>
              <w:bottom w:val="single" w:sz="4" w:space="0" w:color="44546A" w:themeColor="text2"/>
            </w:tcBorders>
            <w:vAlign w:val="center"/>
          </w:tcPr>
          <w:p w14:paraId="370A3DA8" w14:textId="0AA82D9F" w:rsidR="007C26E1" w:rsidRPr="000E38C0" w:rsidRDefault="007C26E1" w:rsidP="007C26E1">
            <w:pPr>
              <w:pStyle w:val="Normal6ptafter"/>
              <w:rPr>
                <w:rFonts w:ascii="TT Hoves Light" w:hAnsi="TT Hoves Light"/>
              </w:rPr>
            </w:pPr>
            <w:r>
              <w:rPr>
                <w:rFonts w:ascii="TT Hoves Light" w:hAnsi="TT Hoves Light"/>
              </w:rPr>
              <w:t>Exposure to Environmental, Social and Governance factors, including but not limited to climate change, which can impact the performance of the Scheme’s investments.</w:t>
            </w:r>
          </w:p>
        </w:tc>
        <w:tc>
          <w:tcPr>
            <w:tcW w:w="2081" w:type="dxa"/>
            <w:tcBorders>
              <w:top w:val="single" w:sz="4" w:space="0" w:color="44546A" w:themeColor="text2"/>
              <w:bottom w:val="single" w:sz="4" w:space="0" w:color="44546A" w:themeColor="text2"/>
            </w:tcBorders>
            <w:vAlign w:val="center"/>
          </w:tcPr>
          <w:p w14:paraId="6C491F84" w14:textId="77777777" w:rsidR="007C26E1" w:rsidRDefault="007C26E1" w:rsidP="007C26E1">
            <w:pPr>
              <w:pStyle w:val="Normal6ptafter"/>
              <w:rPr>
                <w:rFonts w:ascii="TT Hoves Light" w:hAnsi="TT Hoves Light"/>
              </w:rPr>
            </w:pPr>
            <w:r>
              <w:rPr>
                <w:rFonts w:ascii="TT Hoves Light" w:hAnsi="TT Hoves Light"/>
              </w:rPr>
              <w:t>To appoint managers who satisfy the following criteria, unless there is a good reason why the manager does not satisfy each criteria:</w:t>
            </w:r>
          </w:p>
          <w:p w14:paraId="4C6D1FA3" w14:textId="06F010FB" w:rsidR="007C26E1" w:rsidRDefault="007C26E1" w:rsidP="007C26E1">
            <w:pPr>
              <w:pStyle w:val="Normal6ptafter"/>
              <w:numPr>
                <w:ilvl w:val="0"/>
                <w:numId w:val="12"/>
              </w:numPr>
              <w:rPr>
                <w:rFonts w:ascii="TT Hoves Light" w:hAnsi="TT Hoves Light"/>
              </w:rPr>
            </w:pPr>
            <w:r>
              <w:rPr>
                <w:rFonts w:ascii="TT Hoves Light" w:hAnsi="TT Hoves Light"/>
              </w:rPr>
              <w:t>Has a Responsible Investment (‘RI’) Policy/Framework</w:t>
            </w:r>
          </w:p>
          <w:p w14:paraId="313D8F0A" w14:textId="77777777" w:rsidR="007C26E1" w:rsidRDefault="007C26E1" w:rsidP="007C26E1">
            <w:pPr>
              <w:pStyle w:val="Normal6ptafter"/>
              <w:numPr>
                <w:ilvl w:val="0"/>
                <w:numId w:val="12"/>
              </w:numPr>
              <w:rPr>
                <w:rFonts w:ascii="TT Hoves Light" w:hAnsi="TT Hoves Light"/>
              </w:rPr>
            </w:pPr>
            <w:r>
              <w:rPr>
                <w:rFonts w:ascii="TT Hoves Light" w:hAnsi="TT Hoves Light"/>
              </w:rPr>
              <w:t>Implemented via the investment process</w:t>
            </w:r>
          </w:p>
          <w:p w14:paraId="1F68ACFE" w14:textId="77777777" w:rsidR="007C26E1" w:rsidRDefault="007C26E1" w:rsidP="007C26E1">
            <w:pPr>
              <w:pStyle w:val="Normal6ptafter"/>
              <w:numPr>
                <w:ilvl w:val="0"/>
                <w:numId w:val="12"/>
              </w:numPr>
              <w:rPr>
                <w:rFonts w:ascii="TT Hoves Light" w:hAnsi="TT Hoves Light"/>
              </w:rPr>
            </w:pPr>
            <w:r>
              <w:rPr>
                <w:rFonts w:ascii="TT Hoves Light" w:hAnsi="TT Hoves Light"/>
              </w:rPr>
              <w:t>A track record of using engagement and any voting rights to manage ESG factors</w:t>
            </w:r>
          </w:p>
          <w:p w14:paraId="1EEC30FF" w14:textId="628E44BE" w:rsidR="007C26E1" w:rsidRPr="000E38C0" w:rsidRDefault="007C26E1" w:rsidP="007C26E1">
            <w:pPr>
              <w:pStyle w:val="Normal6ptafter"/>
              <w:numPr>
                <w:ilvl w:val="0"/>
                <w:numId w:val="12"/>
              </w:numPr>
              <w:rPr>
                <w:rFonts w:ascii="TT Hoves Light" w:hAnsi="TT Hoves Light"/>
              </w:rPr>
            </w:pPr>
            <w:r>
              <w:rPr>
                <w:rFonts w:ascii="TT Hoves Light" w:hAnsi="TT Hoves Light"/>
              </w:rPr>
              <w:t>UN PRI Signatory</w:t>
            </w:r>
          </w:p>
        </w:tc>
        <w:tc>
          <w:tcPr>
            <w:tcW w:w="2696" w:type="dxa"/>
            <w:tcBorders>
              <w:top w:val="single" w:sz="4" w:space="0" w:color="44546A" w:themeColor="text2"/>
              <w:bottom w:val="single" w:sz="4" w:space="0" w:color="44546A" w:themeColor="text2"/>
            </w:tcBorders>
            <w:vAlign w:val="center"/>
          </w:tcPr>
          <w:p w14:paraId="6FF8AF10" w14:textId="77777777" w:rsidR="007C26E1" w:rsidRPr="000E38C0" w:rsidRDefault="007C26E1" w:rsidP="007C26E1">
            <w:pPr>
              <w:pStyle w:val="Normal6ptafter"/>
              <w:rPr>
                <w:rFonts w:ascii="TT Hoves Light" w:hAnsi="TT Hoves Light"/>
              </w:rPr>
            </w:pPr>
            <w:r w:rsidRPr="000E38C0">
              <w:rPr>
                <w:rFonts w:ascii="TT Hoves Light" w:hAnsi="TT Hoves Light"/>
              </w:rPr>
              <w:t>As part of the investment management of the Scheme’s assets, the Trustee expects the investment managers to</w:t>
            </w:r>
            <w:r>
              <w:rPr>
                <w:rFonts w:ascii="TT Hoves Light" w:hAnsi="TT Hoves Light"/>
              </w:rPr>
              <w:t xml:space="preserve"> make decisions on:</w:t>
            </w:r>
          </w:p>
          <w:p w14:paraId="3260EA7B" w14:textId="77777777" w:rsidR="007C26E1" w:rsidRDefault="007C26E1" w:rsidP="007C26E1">
            <w:pPr>
              <w:pStyle w:val="Normal6ptafter"/>
              <w:numPr>
                <w:ilvl w:val="0"/>
                <w:numId w:val="3"/>
              </w:numPr>
              <w:spacing w:line="240" w:lineRule="auto"/>
              <w:ind w:left="495"/>
              <w:rPr>
                <w:rFonts w:ascii="TT Hoves Light" w:hAnsi="TT Hoves Light"/>
              </w:rPr>
            </w:pPr>
            <w:r>
              <w:rPr>
                <w:rFonts w:ascii="TT Hoves Light" w:hAnsi="TT Hoves Light"/>
              </w:rPr>
              <w:t>The selection, retention and realisation of investments taking into account all financially material considerations.</w:t>
            </w:r>
          </w:p>
          <w:p w14:paraId="4B10394A" w14:textId="77777777" w:rsidR="007C26E1" w:rsidRDefault="007C26E1" w:rsidP="007C26E1">
            <w:pPr>
              <w:pStyle w:val="Normal6ptafter"/>
              <w:numPr>
                <w:ilvl w:val="0"/>
                <w:numId w:val="3"/>
              </w:numPr>
              <w:spacing w:line="240" w:lineRule="auto"/>
              <w:ind w:left="495"/>
              <w:rPr>
                <w:rFonts w:ascii="TT Hoves Light" w:hAnsi="TT Hoves Light"/>
              </w:rPr>
            </w:pPr>
            <w:r>
              <w:rPr>
                <w:rFonts w:ascii="TT Hoves Light" w:hAnsi="TT Hoves Light"/>
              </w:rPr>
              <w:t>The exercise of rights (including voting rights) attached to these investments</w:t>
            </w:r>
          </w:p>
          <w:p w14:paraId="4872A619" w14:textId="77777777" w:rsidR="007C26E1" w:rsidRDefault="007C26E1" w:rsidP="007C26E1">
            <w:pPr>
              <w:pStyle w:val="Normal6ptafter"/>
              <w:numPr>
                <w:ilvl w:val="0"/>
                <w:numId w:val="3"/>
              </w:numPr>
              <w:spacing w:line="240" w:lineRule="auto"/>
              <w:ind w:left="495"/>
              <w:rPr>
                <w:rFonts w:ascii="TT Hoves Light" w:hAnsi="TT Hoves Light"/>
              </w:rPr>
            </w:pPr>
            <w:r>
              <w:rPr>
                <w:rFonts w:ascii="TT Hoves Light" w:hAnsi="TT Hoves Light"/>
              </w:rPr>
              <w:t xml:space="preserve">Undertaking engagement activities with investee companies and other stakeholders where appropriate. </w:t>
            </w:r>
          </w:p>
          <w:p w14:paraId="66206DBE" w14:textId="715ADB3B" w:rsidR="007C26E1" w:rsidRPr="00313752" w:rsidRDefault="007C26E1" w:rsidP="007C26E1">
            <w:pPr>
              <w:pStyle w:val="Normal6ptafter"/>
              <w:rPr>
                <w:rFonts w:ascii="TT Hoves Light" w:hAnsi="TT Hoves Light"/>
                <w:highlight w:val="yellow"/>
              </w:rPr>
            </w:pPr>
            <w:r w:rsidRPr="00362651">
              <w:rPr>
                <w:rFonts w:ascii="TT Hoves Light" w:hAnsi="TT Hoves Light"/>
              </w:rPr>
              <w:t>This is reflected in the SIP which was updated in September 2020.</w:t>
            </w:r>
          </w:p>
        </w:tc>
      </w:tr>
      <w:tr w:rsidR="007C26E1" w:rsidRPr="006D45A2" w14:paraId="3BF17EA3" w14:textId="77777777" w:rsidTr="008E78B2">
        <w:trPr>
          <w:trHeight w:val="1332"/>
        </w:trPr>
        <w:tc>
          <w:tcPr>
            <w:tcW w:w="2051" w:type="dxa"/>
            <w:tcBorders>
              <w:top w:val="single" w:sz="4" w:space="0" w:color="FFFFFF" w:themeColor="background1"/>
              <w:bottom w:val="single" w:sz="4" w:space="0" w:color="FFFFFF" w:themeColor="background1"/>
            </w:tcBorders>
            <w:shd w:val="clear" w:color="auto" w:fill="E7E6E6" w:themeFill="background2"/>
            <w:vAlign w:val="center"/>
          </w:tcPr>
          <w:p w14:paraId="10761600" w14:textId="27C00C7B" w:rsidR="007C26E1" w:rsidRPr="000E38C0" w:rsidRDefault="007C26E1" w:rsidP="007C26E1">
            <w:pPr>
              <w:pStyle w:val="Normal6ptafter"/>
              <w:rPr>
                <w:rFonts w:ascii="TT Hoves Light" w:hAnsi="TT Hoves Light"/>
              </w:rPr>
            </w:pPr>
            <w:r>
              <w:rPr>
                <w:rFonts w:ascii="TT Hoves Light" w:hAnsi="TT Hoves Light"/>
              </w:rPr>
              <w:lastRenderedPageBreak/>
              <w:t>Currency</w:t>
            </w:r>
          </w:p>
        </w:tc>
        <w:tc>
          <w:tcPr>
            <w:tcW w:w="2458" w:type="dxa"/>
            <w:tcBorders>
              <w:top w:val="single" w:sz="4" w:space="0" w:color="44546A" w:themeColor="text2"/>
              <w:bottom w:val="single" w:sz="4" w:space="0" w:color="44546A" w:themeColor="text2"/>
            </w:tcBorders>
            <w:vAlign w:val="center"/>
          </w:tcPr>
          <w:p w14:paraId="1D36BB4B" w14:textId="7B3CA9EA" w:rsidR="007C26E1" w:rsidRPr="000E38C0" w:rsidRDefault="007C26E1" w:rsidP="007C26E1">
            <w:pPr>
              <w:pStyle w:val="Normal6ptafter"/>
              <w:rPr>
                <w:rFonts w:ascii="TT Hoves Light" w:hAnsi="TT Hoves Light"/>
              </w:rPr>
            </w:pPr>
            <w:r>
              <w:rPr>
                <w:rFonts w:ascii="TT Hoves Light" w:hAnsi="TT Hoves Light"/>
              </w:rPr>
              <w:t>The potential for adverse currency movements to have an impact on the Scheme’s investments.</w:t>
            </w:r>
          </w:p>
        </w:tc>
        <w:tc>
          <w:tcPr>
            <w:tcW w:w="2081" w:type="dxa"/>
            <w:tcBorders>
              <w:top w:val="single" w:sz="4" w:space="0" w:color="44546A" w:themeColor="text2"/>
              <w:bottom w:val="single" w:sz="4" w:space="0" w:color="44546A" w:themeColor="text2"/>
            </w:tcBorders>
            <w:vAlign w:val="center"/>
          </w:tcPr>
          <w:p w14:paraId="60DB2757" w14:textId="5C4E72EF" w:rsidR="007C26E1" w:rsidRPr="000E38C0" w:rsidRDefault="007C26E1" w:rsidP="007C26E1">
            <w:pPr>
              <w:pStyle w:val="Normal6ptafter"/>
              <w:rPr>
                <w:rFonts w:ascii="TT Hoves Light" w:hAnsi="TT Hoves Light"/>
              </w:rPr>
            </w:pPr>
            <w:r>
              <w:rPr>
                <w:rFonts w:ascii="TT Hoves Light" w:hAnsi="TT Hoves Light"/>
              </w:rPr>
              <w:t>To invest in GBP denominated share classes where possible.</w:t>
            </w:r>
          </w:p>
        </w:tc>
        <w:tc>
          <w:tcPr>
            <w:tcW w:w="2696" w:type="dxa"/>
            <w:tcBorders>
              <w:top w:val="single" w:sz="4" w:space="0" w:color="44546A" w:themeColor="text2"/>
              <w:bottom w:val="single" w:sz="4" w:space="0" w:color="44546A" w:themeColor="text2"/>
            </w:tcBorders>
            <w:vAlign w:val="center"/>
          </w:tcPr>
          <w:p w14:paraId="52810D8B" w14:textId="78702D1B" w:rsidR="007C26E1" w:rsidRPr="000E38C0" w:rsidRDefault="007C26E1" w:rsidP="007C26E1">
            <w:pPr>
              <w:pStyle w:val="Normal6ptafter"/>
              <w:rPr>
                <w:rFonts w:ascii="TT Hoves Light" w:hAnsi="TT Hoves Light"/>
              </w:rPr>
            </w:pPr>
            <w:r w:rsidRPr="0058430C">
              <w:rPr>
                <w:rFonts w:ascii="TT Hoves Light" w:hAnsi="TT Hoves Light"/>
              </w:rPr>
              <w:t>The Scheme</w:t>
            </w:r>
            <w:r>
              <w:rPr>
                <w:rFonts w:ascii="TT Hoves Light" w:hAnsi="TT Hoves Light"/>
              </w:rPr>
              <w:t xml:space="preserve"> invests in GBP denominated share classes where possible.</w:t>
            </w:r>
          </w:p>
        </w:tc>
      </w:tr>
      <w:tr w:rsidR="007C26E1" w:rsidRPr="006D45A2" w14:paraId="2A6B0F87" w14:textId="77777777" w:rsidTr="008E78B2">
        <w:trPr>
          <w:trHeight w:val="1332"/>
        </w:trPr>
        <w:tc>
          <w:tcPr>
            <w:tcW w:w="2051" w:type="dxa"/>
            <w:tcBorders>
              <w:top w:val="single" w:sz="4" w:space="0" w:color="FFFFFF" w:themeColor="background1"/>
              <w:bottom w:val="single" w:sz="4" w:space="0" w:color="FFFFFF" w:themeColor="background1"/>
            </w:tcBorders>
            <w:shd w:val="clear" w:color="auto" w:fill="E7E6E6" w:themeFill="background2"/>
            <w:vAlign w:val="center"/>
          </w:tcPr>
          <w:p w14:paraId="3A9417B2" w14:textId="149D3572" w:rsidR="007C26E1" w:rsidRPr="000E38C0" w:rsidRDefault="007C26E1" w:rsidP="007C26E1">
            <w:pPr>
              <w:pStyle w:val="Normal6ptafter"/>
              <w:rPr>
                <w:rFonts w:ascii="TT Hoves Light" w:hAnsi="TT Hoves Light"/>
              </w:rPr>
            </w:pPr>
            <w:r>
              <w:rPr>
                <w:rFonts w:ascii="TT Hoves Light" w:hAnsi="TT Hoves Light"/>
              </w:rPr>
              <w:t>Non-financial</w:t>
            </w:r>
          </w:p>
        </w:tc>
        <w:tc>
          <w:tcPr>
            <w:tcW w:w="2458" w:type="dxa"/>
            <w:tcBorders>
              <w:top w:val="single" w:sz="4" w:space="0" w:color="44546A" w:themeColor="text2"/>
              <w:bottom w:val="single" w:sz="4" w:space="0" w:color="44546A" w:themeColor="text2"/>
            </w:tcBorders>
            <w:vAlign w:val="center"/>
          </w:tcPr>
          <w:p w14:paraId="5E5DD164" w14:textId="2877EB49" w:rsidR="007C26E1" w:rsidRPr="000E38C0" w:rsidRDefault="007C26E1" w:rsidP="007C26E1">
            <w:pPr>
              <w:pStyle w:val="Normal6ptafter"/>
              <w:rPr>
                <w:rFonts w:ascii="TT Hoves Light" w:hAnsi="TT Hoves Light"/>
              </w:rPr>
            </w:pPr>
            <w:r>
              <w:rPr>
                <w:rFonts w:ascii="TT Hoves Light" w:hAnsi="TT Hoves Light"/>
              </w:rPr>
              <w:t>Any factor that is not expected to have a financial impact on the Scheme’s investments.</w:t>
            </w:r>
          </w:p>
        </w:tc>
        <w:tc>
          <w:tcPr>
            <w:tcW w:w="2081" w:type="dxa"/>
            <w:tcBorders>
              <w:top w:val="single" w:sz="4" w:space="0" w:color="44546A" w:themeColor="text2"/>
              <w:bottom w:val="single" w:sz="4" w:space="0" w:color="44546A" w:themeColor="text2"/>
            </w:tcBorders>
            <w:vAlign w:val="center"/>
          </w:tcPr>
          <w:p w14:paraId="5036DF57" w14:textId="1F657E22" w:rsidR="007C26E1" w:rsidRPr="000E38C0" w:rsidRDefault="007C26E1" w:rsidP="007C26E1">
            <w:pPr>
              <w:pStyle w:val="Normal6ptafter"/>
              <w:rPr>
                <w:rFonts w:ascii="TT Hoves Light" w:hAnsi="TT Hoves Light"/>
              </w:rPr>
            </w:pPr>
            <w:r>
              <w:rPr>
                <w:rFonts w:ascii="TT Hoves Light" w:hAnsi="TT Hoves Light"/>
              </w:rPr>
              <w:t>Non-financial matters are not taken into account in the selection, retention or realisation of investments.</w:t>
            </w:r>
          </w:p>
        </w:tc>
        <w:tc>
          <w:tcPr>
            <w:tcW w:w="2696" w:type="dxa"/>
            <w:tcBorders>
              <w:top w:val="single" w:sz="4" w:space="0" w:color="44546A" w:themeColor="text2"/>
              <w:bottom w:val="single" w:sz="4" w:space="0" w:color="44546A" w:themeColor="text2"/>
            </w:tcBorders>
            <w:vAlign w:val="center"/>
          </w:tcPr>
          <w:p w14:paraId="6422E9AA" w14:textId="77777777" w:rsidR="007C26E1" w:rsidRPr="000E38C0" w:rsidRDefault="007C26E1" w:rsidP="007C26E1">
            <w:pPr>
              <w:pStyle w:val="Normal6ptafter"/>
              <w:rPr>
                <w:rFonts w:ascii="TT Hoves Light" w:hAnsi="TT Hoves Light"/>
              </w:rPr>
            </w:pPr>
          </w:p>
        </w:tc>
      </w:tr>
    </w:tbl>
    <w:p w14:paraId="7DF927DF" w14:textId="77777777" w:rsidR="00BE4793" w:rsidRPr="001A0CF7" w:rsidRDefault="00BE4793">
      <w:pPr>
        <w:rPr>
          <w:rFonts w:ascii="TT Hoves Light" w:hAnsi="TT Hoves Light" w:cs="Arial"/>
          <w:color w:val="000000"/>
          <w:sz w:val="20"/>
          <w:szCs w:val="20"/>
        </w:rPr>
      </w:pPr>
    </w:p>
    <w:p w14:paraId="76E40E52" w14:textId="71FA48CD" w:rsidR="001C1F42" w:rsidRDefault="001C1F42">
      <w:pPr>
        <w:rPr>
          <w:rFonts w:ascii="TT Hoves Light" w:hAnsi="TT Hoves Light" w:cs="Arial"/>
          <w:color w:val="000000"/>
          <w:sz w:val="20"/>
          <w:szCs w:val="20"/>
        </w:rPr>
      </w:pPr>
    </w:p>
    <w:p w14:paraId="44D83512" w14:textId="6AD06F75" w:rsidR="0090487A" w:rsidRDefault="002F24D0">
      <w:pPr>
        <w:rPr>
          <w:rFonts w:ascii="TT Hoves Medium" w:hAnsi="TT Hoves Medium" w:cs="Arial"/>
          <w:color w:val="000000"/>
          <w:sz w:val="20"/>
          <w:szCs w:val="20"/>
        </w:rPr>
      </w:pPr>
      <w:r w:rsidRPr="002F24D0">
        <w:rPr>
          <w:rFonts w:ascii="TT Hoves Medium" w:hAnsi="TT Hoves Medium" w:cs="Arial"/>
          <w:color w:val="000000"/>
          <w:sz w:val="20"/>
          <w:szCs w:val="20"/>
        </w:rPr>
        <w:t xml:space="preserve">Changes to the SIP </w:t>
      </w:r>
    </w:p>
    <w:p w14:paraId="71EE0298" w14:textId="0C7174D2" w:rsidR="002F24D0" w:rsidRDefault="002F24D0">
      <w:pPr>
        <w:rPr>
          <w:rFonts w:ascii="TT Hoves Medium" w:hAnsi="TT Hoves Medium" w:cs="Arial"/>
          <w:color w:val="000000"/>
          <w:sz w:val="20"/>
          <w:szCs w:val="20"/>
        </w:rPr>
      </w:pPr>
    </w:p>
    <w:tbl>
      <w:tblPr>
        <w:tblStyle w:val="IsioDarkHeader"/>
        <w:tblW w:w="0" w:type="auto"/>
        <w:tblLook w:val="04A0" w:firstRow="1" w:lastRow="0" w:firstColumn="1" w:lastColumn="0" w:noHBand="0" w:noVBand="1"/>
      </w:tblPr>
      <w:tblGrid>
        <w:gridCol w:w="2934"/>
        <w:gridCol w:w="5882"/>
      </w:tblGrid>
      <w:tr w:rsidR="007D04FE" w14:paraId="182C3857" w14:textId="77777777" w:rsidTr="03FE2B34">
        <w:trPr>
          <w:cnfStyle w:val="100000000000" w:firstRow="1" w:lastRow="0" w:firstColumn="0" w:lastColumn="0" w:oddVBand="0" w:evenVBand="0" w:oddHBand="0" w:evenHBand="0" w:firstRowFirstColumn="0" w:firstRowLastColumn="0" w:lastRowFirstColumn="0" w:lastRowLastColumn="0"/>
          <w:trHeight w:val="670"/>
        </w:trPr>
        <w:tc>
          <w:tcPr>
            <w:tcW w:w="2934" w:type="dxa"/>
            <w:shd w:val="clear" w:color="auto" w:fill="00BA8D"/>
            <w:vAlign w:val="center"/>
          </w:tcPr>
          <w:p w14:paraId="75EEDEB9" w14:textId="77777777" w:rsidR="007D04FE" w:rsidRPr="007D04FE" w:rsidRDefault="007D04FE" w:rsidP="00860DE3">
            <w:pPr>
              <w:autoSpaceDE w:val="0"/>
              <w:autoSpaceDN w:val="0"/>
              <w:adjustRightInd w:val="0"/>
              <w:rPr>
                <w:rFonts w:ascii="TT Hoves Light" w:hAnsi="TT Hoves Light" w:cs="TimesNewRoman"/>
              </w:rPr>
            </w:pPr>
            <w:r w:rsidRPr="007D04FE">
              <w:rPr>
                <w:rFonts w:ascii="TT Hoves Light" w:hAnsi="TT Hoves Light" w:cs="TimesNewRoman"/>
              </w:rPr>
              <w:t>Policies added to the SIP</w:t>
            </w:r>
          </w:p>
        </w:tc>
        <w:tc>
          <w:tcPr>
            <w:tcW w:w="5882" w:type="dxa"/>
            <w:shd w:val="clear" w:color="auto" w:fill="00BA8D"/>
            <w:vAlign w:val="center"/>
          </w:tcPr>
          <w:p w14:paraId="67E35B23" w14:textId="77777777" w:rsidR="007D04FE" w:rsidRPr="007D04FE" w:rsidRDefault="007D04FE" w:rsidP="00860DE3">
            <w:pPr>
              <w:autoSpaceDE w:val="0"/>
              <w:autoSpaceDN w:val="0"/>
              <w:adjustRightInd w:val="0"/>
              <w:rPr>
                <w:rFonts w:ascii="TT Hoves Light" w:hAnsi="TT Hoves Light" w:cs="TimesNewRoman"/>
              </w:rPr>
            </w:pPr>
          </w:p>
        </w:tc>
      </w:tr>
      <w:tr w:rsidR="00184D4E" w14:paraId="78D7AA06" w14:textId="77777777" w:rsidTr="03FE2B34">
        <w:trPr>
          <w:trHeight w:val="17"/>
        </w:trPr>
        <w:tc>
          <w:tcPr>
            <w:tcW w:w="2934" w:type="dxa"/>
            <w:shd w:val="clear" w:color="auto" w:fill="auto"/>
            <w:vAlign w:val="center"/>
          </w:tcPr>
          <w:p w14:paraId="135D2130" w14:textId="0A69DEF9" w:rsidR="00184D4E" w:rsidRDefault="00184D4E" w:rsidP="00184D4E">
            <w:pPr>
              <w:autoSpaceDE w:val="0"/>
              <w:autoSpaceDN w:val="0"/>
              <w:adjustRightInd w:val="0"/>
              <w:rPr>
                <w:rFonts w:ascii="TT Hoves Light" w:hAnsi="TT Hoves Light" w:cs="TimesNewRoman"/>
              </w:rPr>
            </w:pPr>
            <w:r w:rsidRPr="007D04FE">
              <w:rPr>
                <w:rFonts w:ascii="TT Hoves Light" w:hAnsi="TT Hoves Light" w:cs="TimesNewRoman"/>
              </w:rPr>
              <w:t>Risks, Financially Material Considerations</w:t>
            </w:r>
          </w:p>
        </w:tc>
        <w:tc>
          <w:tcPr>
            <w:tcW w:w="5882" w:type="dxa"/>
            <w:shd w:val="clear" w:color="auto" w:fill="auto"/>
            <w:vAlign w:val="center"/>
          </w:tcPr>
          <w:p w14:paraId="1A9BADD5" w14:textId="68FA8409" w:rsidR="00184D4E" w:rsidRDefault="00184D4E" w:rsidP="00184D4E">
            <w:pPr>
              <w:pStyle w:val="ListParagraph"/>
              <w:autoSpaceDE w:val="0"/>
              <w:autoSpaceDN w:val="0"/>
              <w:adjustRightInd w:val="0"/>
              <w:ind w:left="360"/>
              <w:rPr>
                <w:rFonts w:ascii="TT Hoves Light" w:hAnsi="TT Hoves Light" w:cs="TimesNewRoman"/>
              </w:rPr>
            </w:pPr>
            <w:r w:rsidRPr="007D04FE">
              <w:rPr>
                <w:rFonts w:ascii="TT Hoves Light" w:hAnsi="TT Hoves Light" w:cs="TimesNewRoman"/>
              </w:rPr>
              <w:t xml:space="preserve">The Trustee has explicitly included additional risks as part of the financially material considerations that the Trustee has considered and sought to manage. These risks </w:t>
            </w:r>
            <w:r w:rsidR="00167002" w:rsidRPr="007D04FE">
              <w:rPr>
                <w:rFonts w:ascii="TT Hoves Light" w:hAnsi="TT Hoves Light" w:cs="TimesNewRoman"/>
              </w:rPr>
              <w:t>are</w:t>
            </w:r>
            <w:r w:rsidR="00167002">
              <w:rPr>
                <w:rFonts w:ascii="TT Hoves Light" w:hAnsi="TT Hoves Light" w:cs="TimesNewRoman"/>
              </w:rPr>
              <w:t xml:space="preserve"> considered as being</w:t>
            </w:r>
            <w:r w:rsidRPr="007D04FE">
              <w:rPr>
                <w:rFonts w:ascii="TT Hoves Light" w:hAnsi="TT Hoves Light" w:cs="TimesNewRoman"/>
              </w:rPr>
              <w:t xml:space="preserve"> relevant over the lifetime of the Scheme’s existing investment strategy in the context of the Trustee’s current objectives. </w:t>
            </w:r>
          </w:p>
          <w:p w14:paraId="616880C5" w14:textId="77777777" w:rsidR="00184D4E" w:rsidRDefault="00184D4E" w:rsidP="00184D4E">
            <w:pPr>
              <w:autoSpaceDE w:val="0"/>
              <w:autoSpaceDN w:val="0"/>
              <w:adjustRightInd w:val="0"/>
              <w:rPr>
                <w:rFonts w:ascii="TT Hoves Light" w:hAnsi="TT Hoves Light" w:cs="TimesNewRoman"/>
              </w:rPr>
            </w:pPr>
          </w:p>
          <w:p w14:paraId="0120EED8" w14:textId="77777777" w:rsidR="00184D4E" w:rsidRPr="007D04FE" w:rsidRDefault="00184D4E" w:rsidP="00184D4E">
            <w:pPr>
              <w:pStyle w:val="ListParagraph"/>
              <w:autoSpaceDE w:val="0"/>
              <w:autoSpaceDN w:val="0"/>
              <w:adjustRightInd w:val="0"/>
              <w:ind w:left="360"/>
              <w:rPr>
                <w:rFonts w:ascii="TT Hoves Light" w:hAnsi="TT Hoves Light" w:cs="TimesNewRoman"/>
              </w:rPr>
            </w:pPr>
            <w:r w:rsidRPr="007D04FE">
              <w:rPr>
                <w:rFonts w:ascii="TT Hoves Light" w:hAnsi="TT Hoves Light" w:cs="TimesNewRoman"/>
              </w:rPr>
              <w:t>Additional risks in the 20</w:t>
            </w:r>
            <w:r>
              <w:rPr>
                <w:rFonts w:ascii="TT Hoves Light" w:hAnsi="TT Hoves Light" w:cs="TimesNewRoman"/>
              </w:rPr>
              <w:t>20</w:t>
            </w:r>
            <w:r w:rsidRPr="007D04FE">
              <w:rPr>
                <w:rFonts w:ascii="TT Hoves Light" w:hAnsi="TT Hoves Light" w:cs="TimesNewRoman"/>
              </w:rPr>
              <w:t xml:space="preserve"> SIP include:</w:t>
            </w:r>
          </w:p>
          <w:p w14:paraId="347B6DDE" w14:textId="70BC95DF" w:rsidR="00184D4E" w:rsidRDefault="00184D4E" w:rsidP="00184D4E">
            <w:pPr>
              <w:pStyle w:val="ListParagraph"/>
              <w:numPr>
                <w:ilvl w:val="0"/>
                <w:numId w:val="4"/>
              </w:numPr>
              <w:contextualSpacing/>
              <w:rPr>
                <w:rFonts w:ascii="TT Hoves Light" w:hAnsi="TT Hoves Light" w:cs="TimesNewRoman"/>
              </w:rPr>
            </w:pPr>
            <w:r>
              <w:rPr>
                <w:rFonts w:ascii="TT Hoves Light" w:hAnsi="TT Hoves Light" w:cs="TimesNewRoman"/>
              </w:rPr>
              <w:t>Covenant risk</w:t>
            </w:r>
          </w:p>
          <w:p w14:paraId="0DCE6FF8" w14:textId="1306CF6C" w:rsidR="00A21583" w:rsidRDefault="00A21583" w:rsidP="00184D4E">
            <w:pPr>
              <w:pStyle w:val="ListParagraph"/>
              <w:numPr>
                <w:ilvl w:val="0"/>
                <w:numId w:val="4"/>
              </w:numPr>
              <w:contextualSpacing/>
              <w:rPr>
                <w:rFonts w:ascii="TT Hoves Light" w:hAnsi="TT Hoves Light" w:cs="TimesNewRoman"/>
              </w:rPr>
            </w:pPr>
            <w:r>
              <w:rPr>
                <w:rFonts w:ascii="TT Hoves Light" w:hAnsi="TT Hoves Light" w:cs="TimesNewRoman"/>
              </w:rPr>
              <w:t>Credit</w:t>
            </w:r>
          </w:p>
          <w:p w14:paraId="07502274" w14:textId="72202C3A" w:rsidR="00A21583" w:rsidRDefault="00167002" w:rsidP="00184D4E">
            <w:pPr>
              <w:pStyle w:val="ListParagraph"/>
              <w:numPr>
                <w:ilvl w:val="0"/>
                <w:numId w:val="4"/>
              </w:numPr>
              <w:contextualSpacing/>
              <w:rPr>
                <w:rFonts w:ascii="TT Hoves Light" w:hAnsi="TT Hoves Light" w:cs="TimesNewRoman"/>
              </w:rPr>
            </w:pPr>
            <w:r>
              <w:rPr>
                <w:rFonts w:ascii="TT Hoves Light" w:hAnsi="TT Hoves Light" w:cs="TimesNewRoman"/>
              </w:rPr>
              <w:t>Currency</w:t>
            </w:r>
          </w:p>
          <w:p w14:paraId="574DACE6" w14:textId="42CE2CC0" w:rsidR="00167002" w:rsidRPr="00167002" w:rsidRDefault="00167002" w:rsidP="00167002">
            <w:pPr>
              <w:pStyle w:val="ListParagraph"/>
              <w:numPr>
                <w:ilvl w:val="0"/>
                <w:numId w:val="4"/>
              </w:numPr>
              <w:contextualSpacing/>
              <w:rPr>
                <w:rFonts w:ascii="TT Hoves Light" w:hAnsi="TT Hoves Light" w:cs="TimesNewRoman"/>
              </w:rPr>
            </w:pPr>
            <w:r w:rsidRPr="00167002">
              <w:rPr>
                <w:rFonts w:ascii="TT Hoves Light" w:hAnsi="TT Hoves Light" w:cs="TimesNewRoman"/>
              </w:rPr>
              <w:t>Environmental,</w:t>
            </w:r>
            <w:r>
              <w:rPr>
                <w:rFonts w:ascii="TT Hoves Light" w:hAnsi="TT Hoves Light" w:cs="TimesNewRoman"/>
              </w:rPr>
              <w:t xml:space="preserve"> </w:t>
            </w:r>
            <w:r w:rsidRPr="00167002">
              <w:rPr>
                <w:rFonts w:ascii="TT Hoves Light" w:hAnsi="TT Hoves Light" w:cs="TimesNewRoman"/>
              </w:rPr>
              <w:t>Social and</w:t>
            </w:r>
            <w:r>
              <w:rPr>
                <w:rFonts w:ascii="TT Hoves Light" w:hAnsi="TT Hoves Light" w:cs="TimesNewRoman"/>
              </w:rPr>
              <w:t xml:space="preserve"> </w:t>
            </w:r>
            <w:r w:rsidRPr="00167002">
              <w:rPr>
                <w:rFonts w:ascii="TT Hoves Light" w:hAnsi="TT Hoves Light" w:cs="TimesNewRoman"/>
              </w:rPr>
              <w:t>Governance</w:t>
            </w:r>
          </w:p>
          <w:p w14:paraId="76CEDBEA" w14:textId="1847924F" w:rsidR="00184D4E" w:rsidRPr="00EF334C" w:rsidRDefault="00184D4E" w:rsidP="00EF334C">
            <w:pPr>
              <w:pStyle w:val="ListParagraph"/>
              <w:numPr>
                <w:ilvl w:val="0"/>
                <w:numId w:val="4"/>
              </w:numPr>
              <w:autoSpaceDE w:val="0"/>
              <w:autoSpaceDN w:val="0"/>
              <w:adjustRightInd w:val="0"/>
              <w:rPr>
                <w:rFonts w:ascii="TT Hoves Light" w:hAnsi="TT Hoves Light" w:cs="TimesNewRoman"/>
              </w:rPr>
            </w:pPr>
            <w:r w:rsidRPr="00EF334C">
              <w:rPr>
                <w:rFonts w:ascii="TT Hoves Light" w:hAnsi="TT Hoves Light"/>
              </w:rPr>
              <w:t>Non-financial risk.</w:t>
            </w:r>
          </w:p>
        </w:tc>
      </w:tr>
      <w:tr w:rsidR="006A2908" w14:paraId="48AC4ADE" w14:textId="77777777" w:rsidTr="03FE2B34">
        <w:trPr>
          <w:trHeight w:val="17"/>
        </w:trPr>
        <w:tc>
          <w:tcPr>
            <w:tcW w:w="2934" w:type="dxa"/>
            <w:shd w:val="clear" w:color="auto" w:fill="auto"/>
            <w:vAlign w:val="center"/>
          </w:tcPr>
          <w:p w14:paraId="04A29880" w14:textId="11A82541" w:rsidR="006A2908" w:rsidRDefault="006A2908" w:rsidP="006A2908">
            <w:pPr>
              <w:autoSpaceDE w:val="0"/>
              <w:autoSpaceDN w:val="0"/>
              <w:adjustRightInd w:val="0"/>
              <w:rPr>
                <w:rFonts w:ascii="TT Hoves Light" w:hAnsi="TT Hoves Light" w:cs="TimesNewRoman"/>
              </w:rPr>
            </w:pPr>
            <w:r>
              <w:rPr>
                <w:rFonts w:ascii="TT Hoves Light" w:hAnsi="TT Hoves Light" w:cs="TimesNewRoman"/>
              </w:rPr>
              <w:t>Investment Manager Monitoring and Engagement</w:t>
            </w:r>
          </w:p>
        </w:tc>
        <w:tc>
          <w:tcPr>
            <w:tcW w:w="5882" w:type="dxa"/>
            <w:shd w:val="clear" w:color="auto" w:fill="auto"/>
            <w:vAlign w:val="center"/>
          </w:tcPr>
          <w:p w14:paraId="7AA9EAC7" w14:textId="77777777" w:rsidR="006A2908" w:rsidRDefault="006A2908" w:rsidP="006A2908">
            <w:pPr>
              <w:pStyle w:val="ListParagraph"/>
              <w:autoSpaceDE w:val="0"/>
              <w:autoSpaceDN w:val="0"/>
              <w:adjustRightInd w:val="0"/>
              <w:ind w:left="360"/>
              <w:rPr>
                <w:rFonts w:ascii="TT Hoves Light" w:hAnsi="TT Hoves Light" w:cs="TimesNewRoman"/>
              </w:rPr>
            </w:pPr>
            <w:r>
              <w:rPr>
                <w:rFonts w:ascii="TT Hoves Light" w:hAnsi="TT Hoves Light" w:cs="TimesNewRoman"/>
              </w:rPr>
              <w:t>An additional section was added demonstrating how the Trustee will work with their investment advisors and/or managers to improve their alignment with the below policies:</w:t>
            </w:r>
          </w:p>
          <w:p w14:paraId="63A0CF06" w14:textId="77777777" w:rsidR="006A2908" w:rsidRDefault="006A2908" w:rsidP="006A2908">
            <w:pPr>
              <w:pStyle w:val="ListParagraph"/>
              <w:autoSpaceDE w:val="0"/>
              <w:autoSpaceDN w:val="0"/>
              <w:adjustRightInd w:val="0"/>
              <w:ind w:left="360"/>
              <w:rPr>
                <w:rFonts w:ascii="TT Hoves Light" w:hAnsi="TT Hoves Light" w:cs="TimesNewRoman"/>
              </w:rPr>
            </w:pPr>
          </w:p>
          <w:p w14:paraId="2B330767" w14:textId="77777777" w:rsidR="006A2908" w:rsidRDefault="006A2908" w:rsidP="006A2908">
            <w:pPr>
              <w:pStyle w:val="ListParagraph"/>
              <w:numPr>
                <w:ilvl w:val="0"/>
                <w:numId w:val="4"/>
              </w:numPr>
              <w:autoSpaceDE w:val="0"/>
              <w:autoSpaceDN w:val="0"/>
              <w:adjustRightInd w:val="0"/>
              <w:rPr>
                <w:rFonts w:ascii="TT Hoves Light" w:hAnsi="TT Hoves Light" w:cs="TimesNewRoman"/>
              </w:rPr>
            </w:pPr>
            <w:r>
              <w:rPr>
                <w:rFonts w:ascii="TT Hoves Light" w:hAnsi="TT Hoves Light" w:cs="TimesNewRoman"/>
              </w:rPr>
              <w:t>Performance Strategy and Risk</w:t>
            </w:r>
          </w:p>
          <w:p w14:paraId="5FAFB54F" w14:textId="77777777" w:rsidR="006A2908" w:rsidRDefault="006A2908" w:rsidP="006A2908">
            <w:pPr>
              <w:pStyle w:val="ListParagraph"/>
              <w:numPr>
                <w:ilvl w:val="0"/>
                <w:numId w:val="4"/>
              </w:numPr>
              <w:autoSpaceDE w:val="0"/>
              <w:autoSpaceDN w:val="0"/>
              <w:adjustRightInd w:val="0"/>
              <w:rPr>
                <w:rFonts w:ascii="TT Hoves Light" w:hAnsi="TT Hoves Light" w:cs="TimesNewRoman"/>
              </w:rPr>
            </w:pPr>
            <w:r>
              <w:rPr>
                <w:rFonts w:ascii="TT Hoves Light" w:hAnsi="TT Hoves Light" w:cs="TimesNewRoman"/>
              </w:rPr>
              <w:t>Environmental, Social, Corporate Governance factors and the exercising of rights</w:t>
            </w:r>
          </w:p>
          <w:p w14:paraId="72CB8F0F" w14:textId="77777777" w:rsidR="006A2908" w:rsidRDefault="006A2908" w:rsidP="006A2908">
            <w:pPr>
              <w:autoSpaceDE w:val="0"/>
              <w:autoSpaceDN w:val="0"/>
              <w:adjustRightInd w:val="0"/>
              <w:rPr>
                <w:rFonts w:ascii="TT Hoves Light" w:hAnsi="TT Hoves Light" w:cs="TimesNewRoman"/>
              </w:rPr>
            </w:pPr>
          </w:p>
          <w:p w14:paraId="6CC124C3" w14:textId="063C19DB" w:rsidR="006A2908" w:rsidRDefault="006A2908" w:rsidP="006A2908">
            <w:pPr>
              <w:autoSpaceDE w:val="0"/>
              <w:autoSpaceDN w:val="0"/>
              <w:adjustRightInd w:val="0"/>
              <w:ind w:left="360"/>
              <w:rPr>
                <w:rFonts w:ascii="TT Hoves Light" w:hAnsi="TT Hoves Light" w:cs="TimesNewRoman"/>
              </w:rPr>
            </w:pPr>
            <w:r>
              <w:rPr>
                <w:rFonts w:ascii="TT Hoves Light" w:hAnsi="TT Hoves Light" w:cs="TimesNewRoman"/>
              </w:rPr>
              <w:t>Where sufficient improvement is not observed, the Trustee will review the relevant investment manager’s appointment and will consider terminating the arrangement.</w:t>
            </w:r>
          </w:p>
        </w:tc>
      </w:tr>
      <w:tr w:rsidR="005908A3" w14:paraId="4713F9F9" w14:textId="77777777" w:rsidTr="03FE2B34">
        <w:trPr>
          <w:trHeight w:val="17"/>
        </w:trPr>
        <w:tc>
          <w:tcPr>
            <w:tcW w:w="2934" w:type="dxa"/>
            <w:shd w:val="clear" w:color="auto" w:fill="auto"/>
            <w:vAlign w:val="center"/>
          </w:tcPr>
          <w:p w14:paraId="04970D1C" w14:textId="4FD5BC72" w:rsidR="005908A3" w:rsidRPr="00A22769" w:rsidRDefault="005908A3" w:rsidP="005908A3">
            <w:pPr>
              <w:autoSpaceDE w:val="0"/>
              <w:autoSpaceDN w:val="0"/>
              <w:adjustRightInd w:val="0"/>
              <w:rPr>
                <w:rFonts w:ascii="TT Hoves Light" w:hAnsi="TT Hoves Light" w:cs="TimesNewRoman"/>
                <w:color w:val="FF0000"/>
              </w:rPr>
            </w:pPr>
            <w:r w:rsidRPr="00AC5418">
              <w:rPr>
                <w:rFonts w:ascii="TT Hoves Light" w:hAnsi="TT Hoves Light" w:cs="TimesNewRoman"/>
              </w:rPr>
              <w:t>Additional Investment Manager Arrangements</w:t>
            </w:r>
          </w:p>
        </w:tc>
        <w:tc>
          <w:tcPr>
            <w:tcW w:w="5882" w:type="dxa"/>
            <w:shd w:val="clear" w:color="auto" w:fill="auto"/>
            <w:vAlign w:val="center"/>
          </w:tcPr>
          <w:p w14:paraId="55AB3722" w14:textId="77777777" w:rsidR="005908A3" w:rsidRPr="00AC5418" w:rsidRDefault="005908A3" w:rsidP="005908A3">
            <w:pPr>
              <w:autoSpaceDE w:val="0"/>
              <w:autoSpaceDN w:val="0"/>
              <w:adjustRightInd w:val="0"/>
              <w:ind w:left="360"/>
              <w:rPr>
                <w:rFonts w:ascii="TT Hoves Light" w:hAnsi="TT Hoves Light" w:cs="TimesNewRoman"/>
              </w:rPr>
            </w:pPr>
            <w:r w:rsidRPr="00AC5418">
              <w:rPr>
                <w:rFonts w:ascii="TT Hoves Light" w:hAnsi="TT Hoves Light" w:cs="TimesNewRoman"/>
              </w:rPr>
              <w:t>The Trustee has included additional arrangements relating to:</w:t>
            </w:r>
          </w:p>
          <w:p w14:paraId="246EE566" w14:textId="77777777" w:rsidR="005908A3" w:rsidRPr="00AC5418" w:rsidRDefault="005908A3" w:rsidP="005908A3">
            <w:pPr>
              <w:autoSpaceDE w:val="0"/>
              <w:autoSpaceDN w:val="0"/>
              <w:adjustRightInd w:val="0"/>
              <w:ind w:left="360"/>
              <w:rPr>
                <w:rFonts w:ascii="TT Hoves Light" w:hAnsi="TT Hoves Light" w:cs="TimesNewRoman"/>
              </w:rPr>
            </w:pPr>
          </w:p>
          <w:p w14:paraId="4D634FEC" w14:textId="77777777" w:rsidR="005908A3" w:rsidRPr="00AC5418" w:rsidRDefault="005908A3" w:rsidP="005908A3">
            <w:pPr>
              <w:pStyle w:val="ListParagraph"/>
              <w:numPr>
                <w:ilvl w:val="0"/>
                <w:numId w:val="4"/>
              </w:numPr>
              <w:autoSpaceDE w:val="0"/>
              <w:autoSpaceDN w:val="0"/>
              <w:adjustRightInd w:val="0"/>
              <w:rPr>
                <w:rFonts w:ascii="TT Hoves Light" w:hAnsi="TT Hoves Light" w:cs="TimesNewRoman"/>
              </w:rPr>
            </w:pPr>
            <w:r w:rsidRPr="00AC5418">
              <w:rPr>
                <w:rFonts w:ascii="TT Hoves Light" w:hAnsi="TT Hoves Light" w:cs="TimesNewRoman"/>
              </w:rPr>
              <w:t>How investment managers are aligned to their investment strategy and decisions with the Trustee’s policies</w:t>
            </w:r>
          </w:p>
          <w:p w14:paraId="75FDF0B7" w14:textId="77777777" w:rsidR="005908A3" w:rsidRPr="00AC5418" w:rsidRDefault="005908A3" w:rsidP="005908A3">
            <w:pPr>
              <w:pStyle w:val="ListParagraph"/>
              <w:numPr>
                <w:ilvl w:val="0"/>
                <w:numId w:val="4"/>
              </w:numPr>
              <w:autoSpaceDE w:val="0"/>
              <w:autoSpaceDN w:val="0"/>
              <w:adjustRightInd w:val="0"/>
              <w:rPr>
                <w:rFonts w:ascii="TT Hoves Light" w:hAnsi="TT Hoves Light" w:cs="TimesNewRoman"/>
              </w:rPr>
            </w:pPr>
            <w:r w:rsidRPr="00AC5418">
              <w:rPr>
                <w:rFonts w:ascii="TT Hoves Light" w:hAnsi="TT Hoves Light" w:cs="TimesNewRoman"/>
              </w:rPr>
              <w:t>How investment managers are incentivised to make decisions based on assessments of medium to long-term financial and non-financial performance and engagement</w:t>
            </w:r>
          </w:p>
          <w:p w14:paraId="2A089079" w14:textId="77777777" w:rsidR="005908A3" w:rsidRPr="00AC5418" w:rsidRDefault="005908A3" w:rsidP="005908A3">
            <w:pPr>
              <w:pStyle w:val="ListParagraph"/>
              <w:numPr>
                <w:ilvl w:val="0"/>
                <w:numId w:val="4"/>
              </w:numPr>
              <w:autoSpaceDE w:val="0"/>
              <w:autoSpaceDN w:val="0"/>
              <w:adjustRightInd w:val="0"/>
              <w:rPr>
                <w:rFonts w:ascii="TT Hoves Light" w:hAnsi="TT Hoves Light" w:cs="TimesNewRoman"/>
              </w:rPr>
            </w:pPr>
            <w:r w:rsidRPr="00AC5418">
              <w:rPr>
                <w:rFonts w:ascii="TT Hoves Light" w:hAnsi="TT Hoves Light" w:cs="TimesNewRoman"/>
              </w:rPr>
              <w:t>How the method and time horizon of the investment managers performance and renumeration is in line with the Trustee’s policies</w:t>
            </w:r>
          </w:p>
          <w:p w14:paraId="259B2C54" w14:textId="77777777" w:rsidR="005908A3" w:rsidRPr="00AC5418" w:rsidRDefault="005908A3" w:rsidP="005908A3">
            <w:pPr>
              <w:pStyle w:val="ListParagraph"/>
              <w:numPr>
                <w:ilvl w:val="0"/>
                <w:numId w:val="4"/>
              </w:numPr>
              <w:autoSpaceDE w:val="0"/>
              <w:autoSpaceDN w:val="0"/>
              <w:adjustRightInd w:val="0"/>
              <w:rPr>
                <w:rFonts w:ascii="TT Hoves Light" w:hAnsi="TT Hoves Light" w:cs="TimesNewRoman"/>
              </w:rPr>
            </w:pPr>
            <w:r w:rsidRPr="00AC5418">
              <w:rPr>
                <w:rFonts w:ascii="TT Hoves Light" w:hAnsi="TT Hoves Light" w:cs="TimesNewRoman"/>
              </w:rPr>
              <w:t>The method for monitoring portfolio turnover costs incurred by investment managers and how these are defined and monitored</w:t>
            </w:r>
          </w:p>
          <w:p w14:paraId="31DEB008" w14:textId="4D005919" w:rsidR="005908A3" w:rsidRPr="00AC5418" w:rsidRDefault="005908A3" w:rsidP="005908A3">
            <w:pPr>
              <w:autoSpaceDE w:val="0"/>
              <w:autoSpaceDN w:val="0"/>
              <w:adjustRightInd w:val="0"/>
              <w:ind w:left="360"/>
              <w:rPr>
                <w:rFonts w:ascii="TT Hoves Light" w:hAnsi="TT Hoves Light" w:cs="TimesNewRoman"/>
              </w:rPr>
            </w:pPr>
            <w:r w:rsidRPr="00AC5418">
              <w:rPr>
                <w:rFonts w:ascii="TT Hoves Light" w:hAnsi="TT Hoves Light" w:cs="TimesNewRoman"/>
              </w:rPr>
              <w:t>The duration of the Scheme’s arrangement with the investment managers.</w:t>
            </w:r>
          </w:p>
        </w:tc>
      </w:tr>
      <w:tr w:rsidR="005908A3" w14:paraId="226BCBD5" w14:textId="77777777" w:rsidTr="03FE2B34">
        <w:trPr>
          <w:trHeight w:val="17"/>
        </w:trPr>
        <w:tc>
          <w:tcPr>
            <w:tcW w:w="2934" w:type="dxa"/>
            <w:shd w:val="clear" w:color="auto" w:fill="auto"/>
            <w:vAlign w:val="center"/>
          </w:tcPr>
          <w:p w14:paraId="6469A1D7" w14:textId="6E7791D7" w:rsidR="005908A3" w:rsidRDefault="009677A1" w:rsidP="005908A3">
            <w:pPr>
              <w:autoSpaceDE w:val="0"/>
              <w:autoSpaceDN w:val="0"/>
              <w:adjustRightInd w:val="0"/>
              <w:rPr>
                <w:rFonts w:ascii="TT Hoves Light" w:hAnsi="TT Hoves Light" w:cs="TimesNewRoman"/>
              </w:rPr>
            </w:pPr>
            <w:r w:rsidRPr="009677A1">
              <w:rPr>
                <w:rFonts w:ascii="TT Hoves Light" w:hAnsi="TT Hoves Light" w:cs="TimesNewRoman"/>
              </w:rPr>
              <w:t>Employer-related investments</w:t>
            </w:r>
          </w:p>
        </w:tc>
        <w:tc>
          <w:tcPr>
            <w:tcW w:w="5882" w:type="dxa"/>
            <w:shd w:val="clear" w:color="auto" w:fill="auto"/>
            <w:vAlign w:val="center"/>
          </w:tcPr>
          <w:p w14:paraId="4372B3E2" w14:textId="21B58D4D" w:rsidR="005908A3" w:rsidRDefault="00FC2A6B" w:rsidP="005908A3">
            <w:pPr>
              <w:autoSpaceDE w:val="0"/>
              <w:autoSpaceDN w:val="0"/>
              <w:adjustRightInd w:val="0"/>
              <w:ind w:left="360"/>
              <w:rPr>
                <w:rFonts w:ascii="TT Hoves Light" w:hAnsi="TT Hoves Light" w:cs="TimesNewRoman"/>
              </w:rPr>
            </w:pPr>
            <w:r>
              <w:rPr>
                <w:rFonts w:ascii="TT Hoves Light" w:hAnsi="TT Hoves Light" w:cs="TimesNewRoman"/>
              </w:rPr>
              <w:t xml:space="preserve">This section outlines the policy regarding total exposure to </w:t>
            </w:r>
            <w:r w:rsidR="00171F3A">
              <w:rPr>
                <w:rFonts w:ascii="TT Hoves Light" w:hAnsi="TT Hoves Light" w:cs="TimesNewRoman"/>
              </w:rPr>
              <w:t>employer-related investment and the monitoring to ensure compliance.</w:t>
            </w:r>
          </w:p>
        </w:tc>
      </w:tr>
      <w:tr w:rsidR="005908A3" w14:paraId="57927BBD" w14:textId="77777777" w:rsidTr="03FE2B34">
        <w:trPr>
          <w:trHeight w:val="17"/>
        </w:trPr>
        <w:tc>
          <w:tcPr>
            <w:tcW w:w="2934" w:type="dxa"/>
            <w:shd w:val="clear" w:color="auto" w:fill="auto"/>
            <w:vAlign w:val="center"/>
          </w:tcPr>
          <w:p w14:paraId="5AF9787F" w14:textId="11DFD581" w:rsidR="005908A3" w:rsidRDefault="009677A1" w:rsidP="005908A3">
            <w:pPr>
              <w:autoSpaceDE w:val="0"/>
              <w:autoSpaceDN w:val="0"/>
              <w:adjustRightInd w:val="0"/>
              <w:rPr>
                <w:rFonts w:ascii="TT Hoves Light" w:hAnsi="TT Hoves Light" w:cs="TimesNewRoman"/>
              </w:rPr>
            </w:pPr>
            <w:r w:rsidRPr="009677A1">
              <w:rPr>
                <w:rFonts w:ascii="TT Hoves Light" w:hAnsi="TT Hoves Light" w:cs="TimesNewRoman"/>
              </w:rPr>
              <w:t>Direct investments</w:t>
            </w:r>
          </w:p>
        </w:tc>
        <w:tc>
          <w:tcPr>
            <w:tcW w:w="5882" w:type="dxa"/>
            <w:shd w:val="clear" w:color="auto" w:fill="auto"/>
            <w:vAlign w:val="center"/>
          </w:tcPr>
          <w:p w14:paraId="2F908D89" w14:textId="34257C25" w:rsidR="005908A3" w:rsidRDefault="009E6B7B" w:rsidP="005908A3">
            <w:pPr>
              <w:autoSpaceDE w:val="0"/>
              <w:autoSpaceDN w:val="0"/>
              <w:adjustRightInd w:val="0"/>
              <w:ind w:left="360"/>
              <w:rPr>
                <w:rFonts w:ascii="TT Hoves Light" w:hAnsi="TT Hoves Light" w:cs="TimesNewRoman"/>
              </w:rPr>
            </w:pPr>
            <w:r>
              <w:rPr>
                <w:rFonts w:ascii="TT Hoves Light" w:hAnsi="TT Hoves Light" w:cs="TimesNewRoman"/>
              </w:rPr>
              <w:t xml:space="preserve">This section outlines </w:t>
            </w:r>
            <w:r w:rsidR="00830031">
              <w:rPr>
                <w:rFonts w:ascii="TT Hoves Light" w:hAnsi="TT Hoves Light" w:cs="TimesNewRoman"/>
              </w:rPr>
              <w:t>how the Trustee will approach Direct investments.</w:t>
            </w:r>
          </w:p>
        </w:tc>
      </w:tr>
      <w:tr w:rsidR="005908A3" w14:paraId="3E953700" w14:textId="77777777" w:rsidTr="03FE2B34">
        <w:trPr>
          <w:trHeight w:val="17"/>
        </w:trPr>
        <w:tc>
          <w:tcPr>
            <w:tcW w:w="2934" w:type="dxa"/>
            <w:shd w:val="clear" w:color="auto" w:fill="auto"/>
            <w:vAlign w:val="center"/>
          </w:tcPr>
          <w:p w14:paraId="745DD7D7" w14:textId="686603A3" w:rsidR="005908A3" w:rsidRDefault="006B0F55" w:rsidP="005908A3">
            <w:pPr>
              <w:autoSpaceDE w:val="0"/>
              <w:autoSpaceDN w:val="0"/>
              <w:adjustRightInd w:val="0"/>
              <w:rPr>
                <w:rFonts w:ascii="TT Hoves Light" w:hAnsi="TT Hoves Light" w:cs="TimesNewRoman"/>
              </w:rPr>
            </w:pPr>
            <w:r w:rsidRPr="006B0F55">
              <w:rPr>
                <w:rFonts w:ascii="TT Hoves Light" w:hAnsi="TT Hoves Light" w:cs="TimesNewRoman"/>
              </w:rPr>
              <w:lastRenderedPageBreak/>
              <w:t>Governance</w:t>
            </w:r>
          </w:p>
        </w:tc>
        <w:tc>
          <w:tcPr>
            <w:tcW w:w="5882" w:type="dxa"/>
            <w:shd w:val="clear" w:color="auto" w:fill="auto"/>
            <w:vAlign w:val="center"/>
          </w:tcPr>
          <w:p w14:paraId="4F2E4EE3" w14:textId="1FC8866A" w:rsidR="005908A3" w:rsidRDefault="00830031" w:rsidP="005908A3">
            <w:pPr>
              <w:autoSpaceDE w:val="0"/>
              <w:autoSpaceDN w:val="0"/>
              <w:adjustRightInd w:val="0"/>
              <w:ind w:left="360"/>
              <w:rPr>
                <w:rFonts w:ascii="TT Hoves Light" w:hAnsi="TT Hoves Light" w:cs="TimesNewRoman"/>
              </w:rPr>
            </w:pPr>
            <w:r>
              <w:rPr>
                <w:rFonts w:ascii="TT Hoves Light" w:hAnsi="TT Hoves Light" w:cs="TimesNewRoman"/>
              </w:rPr>
              <w:t xml:space="preserve">This section outlines </w:t>
            </w:r>
            <w:r w:rsidR="000767F3">
              <w:rPr>
                <w:rFonts w:ascii="TT Hoves Light" w:hAnsi="TT Hoves Light" w:cs="TimesNewRoman"/>
              </w:rPr>
              <w:t>how the Trustee will approach major strategic decisions for the Scheme.</w:t>
            </w:r>
          </w:p>
        </w:tc>
      </w:tr>
      <w:tr w:rsidR="005908A3" w14:paraId="39B184A6" w14:textId="77777777" w:rsidTr="03FE2B34">
        <w:trPr>
          <w:trHeight w:val="17"/>
        </w:trPr>
        <w:tc>
          <w:tcPr>
            <w:tcW w:w="2934" w:type="dxa"/>
            <w:shd w:val="clear" w:color="auto" w:fill="auto"/>
            <w:vAlign w:val="center"/>
          </w:tcPr>
          <w:p w14:paraId="737A2749" w14:textId="76DF125D" w:rsidR="005908A3" w:rsidRPr="007D04FE" w:rsidRDefault="00373493" w:rsidP="005908A3">
            <w:pPr>
              <w:autoSpaceDE w:val="0"/>
              <w:autoSpaceDN w:val="0"/>
              <w:adjustRightInd w:val="0"/>
              <w:rPr>
                <w:rFonts w:ascii="TT Hoves Light" w:hAnsi="TT Hoves Light" w:cs="TimesNewRoman"/>
              </w:rPr>
            </w:pPr>
            <w:r>
              <w:rPr>
                <w:rFonts w:ascii="TT Hoves Light" w:hAnsi="TT Hoves Light" w:cs="TimesNewRoman"/>
              </w:rPr>
              <w:t>Members’ views and non-financial factors</w:t>
            </w:r>
          </w:p>
        </w:tc>
        <w:tc>
          <w:tcPr>
            <w:tcW w:w="5882" w:type="dxa"/>
            <w:shd w:val="clear" w:color="auto" w:fill="auto"/>
            <w:vAlign w:val="center"/>
          </w:tcPr>
          <w:p w14:paraId="4D39B3BF" w14:textId="06D4F0A7" w:rsidR="005908A3" w:rsidRPr="00595BDE" w:rsidRDefault="000767F3" w:rsidP="005908A3">
            <w:pPr>
              <w:autoSpaceDE w:val="0"/>
              <w:autoSpaceDN w:val="0"/>
              <w:adjustRightInd w:val="0"/>
              <w:ind w:left="360"/>
              <w:rPr>
                <w:rFonts w:ascii="TT Hoves Light" w:hAnsi="TT Hoves Light" w:cs="TimesNewRoman"/>
              </w:rPr>
            </w:pPr>
            <w:r>
              <w:rPr>
                <w:rFonts w:ascii="TT Hoves Light" w:hAnsi="TT Hoves Light" w:cs="TimesNewRoman"/>
              </w:rPr>
              <w:t xml:space="preserve">This </w:t>
            </w:r>
            <w:r w:rsidR="00F27837">
              <w:rPr>
                <w:rFonts w:ascii="TT Hoves Light" w:hAnsi="TT Hoves Light" w:cs="TimesNewRoman"/>
              </w:rPr>
              <w:t>section outlines how the Trustee will approach Members’ views and non-financial factors.</w:t>
            </w:r>
          </w:p>
        </w:tc>
      </w:tr>
    </w:tbl>
    <w:p w14:paraId="16C5D333" w14:textId="3E43FEEE" w:rsidR="00AC5418" w:rsidRDefault="00AC5418">
      <w:pPr>
        <w:rPr>
          <w:rFonts w:ascii="TT Hoves Medium" w:hAnsi="TT Hoves Medium" w:cs="Arial"/>
          <w:color w:val="000000"/>
          <w:sz w:val="20"/>
          <w:szCs w:val="20"/>
        </w:rPr>
      </w:pPr>
    </w:p>
    <w:p w14:paraId="5197BB2A" w14:textId="44F417C5" w:rsidR="00AC5418" w:rsidRDefault="00AC5418">
      <w:pPr>
        <w:rPr>
          <w:rFonts w:ascii="TT Hoves Medium" w:hAnsi="TT Hoves Medium" w:cs="Arial"/>
          <w:color w:val="000000"/>
          <w:sz w:val="20"/>
          <w:szCs w:val="20"/>
        </w:rPr>
      </w:pPr>
    </w:p>
    <w:p w14:paraId="1D53F947" w14:textId="05AFC586" w:rsidR="007715D4" w:rsidRDefault="00DF18D7">
      <w:pPr>
        <w:rPr>
          <w:rFonts w:ascii="TT Hoves Medium" w:hAnsi="TT Hoves Medium" w:cs="Arial"/>
          <w:color w:val="000000"/>
          <w:sz w:val="20"/>
          <w:szCs w:val="20"/>
        </w:rPr>
      </w:pPr>
      <w:r w:rsidRPr="00DF18D7">
        <w:rPr>
          <w:rFonts w:ascii="TT Hoves Medium" w:hAnsi="TT Hoves Medium" w:cs="Arial"/>
          <w:color w:val="000000"/>
          <w:sz w:val="20"/>
          <w:szCs w:val="20"/>
        </w:rPr>
        <w:t xml:space="preserve">Implementing the current ESG policy and approach </w:t>
      </w:r>
    </w:p>
    <w:p w14:paraId="011665DB" w14:textId="534E2267" w:rsidR="00DF18D7" w:rsidRDefault="00DF18D7">
      <w:pPr>
        <w:rPr>
          <w:rFonts w:ascii="TT Hoves Medium" w:hAnsi="TT Hoves Medium" w:cs="Arial"/>
          <w:color w:val="000000"/>
          <w:sz w:val="20"/>
          <w:szCs w:val="20"/>
        </w:rPr>
      </w:pPr>
    </w:p>
    <w:p w14:paraId="69D3CC21" w14:textId="77777777" w:rsidR="002156F1" w:rsidRPr="00C4387E" w:rsidRDefault="002156F1" w:rsidP="002156F1">
      <w:pPr>
        <w:rPr>
          <w:rFonts w:ascii="TT Hoves Light" w:hAnsi="TT Hoves Light" w:cs="Arial"/>
          <w:color w:val="000000"/>
          <w:sz w:val="20"/>
          <w:szCs w:val="20"/>
          <w:u w:val="single"/>
        </w:rPr>
      </w:pPr>
      <w:r w:rsidRPr="00C4387E">
        <w:rPr>
          <w:rFonts w:ascii="TT Hoves Light" w:hAnsi="TT Hoves Light" w:cs="Arial"/>
          <w:color w:val="000000"/>
          <w:sz w:val="20"/>
          <w:szCs w:val="20"/>
          <w:u w:val="single"/>
        </w:rPr>
        <w:t>ESG as a financially material risk</w:t>
      </w:r>
    </w:p>
    <w:p w14:paraId="27C1AD53" w14:textId="3D78F5C2" w:rsidR="004D398C" w:rsidRPr="00C4387E" w:rsidRDefault="004D398C" w:rsidP="004D398C">
      <w:pPr>
        <w:rPr>
          <w:rFonts w:ascii="TT Hoves Light" w:hAnsi="TT Hoves Light" w:cs="Arial"/>
          <w:color w:val="000000"/>
          <w:sz w:val="20"/>
          <w:szCs w:val="20"/>
        </w:rPr>
      </w:pPr>
      <w:r w:rsidRPr="00C4387E">
        <w:rPr>
          <w:rFonts w:ascii="TT Hoves Light" w:hAnsi="TT Hoves Light" w:cs="Arial"/>
          <w:color w:val="000000"/>
          <w:sz w:val="20"/>
          <w:szCs w:val="20"/>
        </w:rPr>
        <w:t>The SIP describes the Scheme’s policy with regards to ESG as a material risk. Th</w:t>
      </w:r>
      <w:r w:rsidR="007F08ED" w:rsidRPr="00C4387E">
        <w:rPr>
          <w:rFonts w:ascii="TT Hoves Light" w:hAnsi="TT Hoves Light" w:cs="Arial"/>
          <w:color w:val="000000"/>
          <w:sz w:val="20"/>
          <w:szCs w:val="20"/>
        </w:rPr>
        <w:t xml:space="preserve">e </w:t>
      </w:r>
      <w:r w:rsidR="00CF64DB" w:rsidRPr="00C4387E">
        <w:rPr>
          <w:rFonts w:ascii="TT Hoves Light" w:hAnsi="TT Hoves Light" w:cs="Arial"/>
          <w:color w:val="000000"/>
          <w:sz w:val="20"/>
          <w:szCs w:val="20"/>
        </w:rPr>
        <w:t>next</w:t>
      </w:r>
      <w:r w:rsidRPr="00C4387E">
        <w:rPr>
          <w:rFonts w:ascii="TT Hoves Light" w:hAnsi="TT Hoves Light" w:cs="Arial"/>
          <w:color w:val="000000"/>
          <w:sz w:val="20"/>
          <w:szCs w:val="20"/>
        </w:rPr>
        <w:t xml:space="preserve"> page details how the Scheme’s ESG policy is implemented. The rest of this statement details our view of the managers, our actions for engagement and an evaluation of the stewardship activity.</w:t>
      </w:r>
    </w:p>
    <w:p w14:paraId="39942719" w14:textId="77777777" w:rsidR="004D398C" w:rsidRPr="00C4387E" w:rsidRDefault="004D398C" w:rsidP="004D398C">
      <w:pPr>
        <w:rPr>
          <w:rFonts w:ascii="TT Hoves Light" w:hAnsi="TT Hoves Light" w:cs="Arial"/>
          <w:color w:val="000000"/>
          <w:sz w:val="20"/>
          <w:szCs w:val="20"/>
        </w:rPr>
      </w:pPr>
    </w:p>
    <w:p w14:paraId="226A1FE2" w14:textId="172C0E9E" w:rsidR="002156F1" w:rsidRPr="00C4387E" w:rsidRDefault="004D398C" w:rsidP="004D398C">
      <w:pPr>
        <w:rPr>
          <w:rFonts w:ascii="TT Hoves Medium" w:hAnsi="TT Hoves Medium" w:cs="Arial"/>
          <w:color w:val="000000"/>
          <w:sz w:val="20"/>
          <w:szCs w:val="20"/>
        </w:rPr>
      </w:pPr>
      <w:r w:rsidRPr="00C4387E">
        <w:rPr>
          <w:rFonts w:ascii="TT Hoves Light" w:hAnsi="TT Hoves Light" w:cs="Arial"/>
          <w:color w:val="000000"/>
          <w:sz w:val="20"/>
          <w:szCs w:val="20"/>
        </w:rPr>
        <w:t xml:space="preserve">The </w:t>
      </w:r>
      <w:r w:rsidR="007F08ED" w:rsidRPr="00C4387E">
        <w:rPr>
          <w:rFonts w:ascii="TT Hoves Light" w:hAnsi="TT Hoves Light" w:cs="Arial"/>
          <w:color w:val="000000"/>
          <w:sz w:val="20"/>
          <w:szCs w:val="20"/>
        </w:rPr>
        <w:t xml:space="preserve">following </w:t>
      </w:r>
      <w:r w:rsidRPr="00C4387E">
        <w:rPr>
          <w:rFonts w:ascii="TT Hoves Light" w:hAnsi="TT Hoves Light" w:cs="Arial"/>
          <w:color w:val="000000"/>
          <w:sz w:val="20"/>
          <w:szCs w:val="20"/>
        </w:rPr>
        <w:t xml:space="preserve">table outlines the areas </w:t>
      </w:r>
      <w:r w:rsidR="007F08ED" w:rsidRPr="00C4387E">
        <w:rPr>
          <w:rFonts w:ascii="TT Hoves Light" w:hAnsi="TT Hoves Light" w:cs="Arial"/>
          <w:color w:val="000000"/>
          <w:sz w:val="20"/>
          <w:szCs w:val="20"/>
        </w:rPr>
        <w:t xml:space="preserve">by </w:t>
      </w:r>
      <w:r w:rsidRPr="00C4387E">
        <w:rPr>
          <w:rFonts w:ascii="TT Hoves Light" w:hAnsi="TT Hoves Light" w:cs="Arial"/>
          <w:color w:val="000000"/>
          <w:sz w:val="20"/>
          <w:szCs w:val="20"/>
        </w:rPr>
        <w:t xml:space="preserve">which the Scheme’s investment managers are assessed on when evaluating their ESG policies. The Trustee </w:t>
      </w:r>
      <w:r w:rsidR="00405EC3">
        <w:rPr>
          <w:rFonts w:ascii="TT Hoves Light" w:hAnsi="TT Hoves Light" w:cs="Arial"/>
          <w:color w:val="000000"/>
          <w:sz w:val="20"/>
          <w:szCs w:val="20"/>
        </w:rPr>
        <w:t xml:space="preserve">will review the </w:t>
      </w:r>
      <w:r w:rsidRPr="00C4387E">
        <w:rPr>
          <w:rFonts w:ascii="TT Hoves Light" w:hAnsi="TT Hoves Light" w:cs="Arial"/>
          <w:color w:val="000000"/>
          <w:sz w:val="20"/>
          <w:szCs w:val="20"/>
        </w:rPr>
        <w:t>Scheme’s ESG policies and engagements periodically to ensure they remain fit for purpose.</w:t>
      </w:r>
    </w:p>
    <w:p w14:paraId="1355A3E5" w14:textId="77777777" w:rsidR="004D398C" w:rsidRPr="00C4387E" w:rsidRDefault="004D398C" w:rsidP="002156F1">
      <w:pPr>
        <w:rPr>
          <w:rFonts w:ascii="TT Hoves Light" w:hAnsi="TT Hoves Light" w:cs="Arial"/>
          <w:color w:val="000000"/>
          <w:sz w:val="20"/>
          <w:szCs w:val="20"/>
          <w:u w:val="single"/>
        </w:rPr>
      </w:pPr>
    </w:p>
    <w:p w14:paraId="710B0DA0" w14:textId="77777777" w:rsidR="00585AAD" w:rsidRPr="00C4387E" w:rsidRDefault="00585AAD" w:rsidP="002156F1">
      <w:pPr>
        <w:rPr>
          <w:rFonts w:ascii="TT Hoves Light" w:hAnsi="TT Hoves Light" w:cs="Arial"/>
          <w:color w:val="000000"/>
          <w:sz w:val="20"/>
          <w:szCs w:val="20"/>
          <w:u w:val="single"/>
        </w:rPr>
      </w:pPr>
    </w:p>
    <w:p w14:paraId="778AAAD3" w14:textId="065D70F7" w:rsidR="00DF18D7" w:rsidRPr="00C4387E" w:rsidRDefault="002156F1" w:rsidP="002156F1">
      <w:pPr>
        <w:rPr>
          <w:rFonts w:ascii="TT Hoves Light" w:hAnsi="TT Hoves Light" w:cs="Arial"/>
          <w:color w:val="000000"/>
          <w:sz w:val="20"/>
          <w:szCs w:val="20"/>
          <w:u w:val="single"/>
        </w:rPr>
      </w:pPr>
      <w:r w:rsidRPr="00C4387E">
        <w:rPr>
          <w:rFonts w:ascii="TT Hoves Light" w:hAnsi="TT Hoves Light" w:cs="Arial"/>
          <w:color w:val="000000"/>
          <w:sz w:val="20"/>
          <w:szCs w:val="20"/>
          <w:u w:val="single"/>
        </w:rPr>
        <w:t>Implementing the Current ESG Policy</w:t>
      </w:r>
    </w:p>
    <w:p w14:paraId="0A4634A1" w14:textId="4D810E29" w:rsidR="002156F1" w:rsidRDefault="002156F1" w:rsidP="002156F1">
      <w:pPr>
        <w:rPr>
          <w:rFonts w:ascii="TT Hoves Light" w:hAnsi="TT Hoves Light" w:cs="Arial"/>
          <w:color w:val="000000"/>
          <w:sz w:val="20"/>
          <w:szCs w:val="20"/>
          <w:u w:val="single"/>
        </w:rPr>
      </w:pPr>
    </w:p>
    <w:tbl>
      <w:tblPr>
        <w:tblStyle w:val="IsioDarkHeader"/>
        <w:tblW w:w="0" w:type="auto"/>
        <w:tblLook w:val="04A0" w:firstRow="1" w:lastRow="0" w:firstColumn="1" w:lastColumn="0" w:noHBand="0" w:noVBand="1"/>
      </w:tblPr>
      <w:tblGrid>
        <w:gridCol w:w="2826"/>
        <w:gridCol w:w="2827"/>
        <w:gridCol w:w="2827"/>
      </w:tblGrid>
      <w:tr w:rsidR="00346B90" w14:paraId="0927D67F" w14:textId="77777777" w:rsidTr="00BA122B">
        <w:trPr>
          <w:cnfStyle w:val="100000000000" w:firstRow="1" w:lastRow="0" w:firstColumn="0" w:lastColumn="0" w:oddVBand="0" w:evenVBand="0" w:oddHBand="0" w:evenHBand="0" w:firstRowFirstColumn="0" w:firstRowLastColumn="0" w:lastRowFirstColumn="0" w:lastRowLastColumn="0"/>
          <w:trHeight w:val="613"/>
        </w:trPr>
        <w:tc>
          <w:tcPr>
            <w:tcW w:w="2826" w:type="dxa"/>
            <w:shd w:val="clear" w:color="auto" w:fill="00BA8D"/>
            <w:vAlign w:val="center"/>
            <w:hideMark/>
          </w:tcPr>
          <w:p w14:paraId="7B990C36" w14:textId="1702FB3E" w:rsidR="00346B90" w:rsidRPr="00346B90" w:rsidRDefault="00346B90" w:rsidP="00860DE3">
            <w:pPr>
              <w:autoSpaceDE w:val="0"/>
              <w:autoSpaceDN w:val="0"/>
              <w:adjustRightInd w:val="0"/>
              <w:rPr>
                <w:rFonts w:ascii="TT Hoves Light" w:hAnsi="TT Hoves Light" w:cs="TimesNewRoman"/>
              </w:rPr>
            </w:pPr>
            <w:r w:rsidRPr="00346B90">
              <w:rPr>
                <w:rFonts w:ascii="TT Hoves Light" w:hAnsi="TT Hoves Light" w:cs="TimesNewRoman"/>
              </w:rPr>
              <w:t xml:space="preserve">Areas for </w:t>
            </w:r>
            <w:r w:rsidR="007D656C">
              <w:rPr>
                <w:rFonts w:ascii="TT Hoves Light" w:hAnsi="TT Hoves Light" w:cs="TimesNewRoman"/>
              </w:rPr>
              <w:t xml:space="preserve">monitoring and </w:t>
            </w:r>
            <w:r w:rsidRPr="00346B90">
              <w:rPr>
                <w:rFonts w:ascii="TT Hoves Light" w:hAnsi="TT Hoves Light" w:cs="TimesNewRoman"/>
              </w:rPr>
              <w:t>engagement</w:t>
            </w:r>
          </w:p>
        </w:tc>
        <w:tc>
          <w:tcPr>
            <w:tcW w:w="2827" w:type="dxa"/>
            <w:shd w:val="clear" w:color="auto" w:fill="00BA8D"/>
            <w:vAlign w:val="center"/>
            <w:hideMark/>
          </w:tcPr>
          <w:p w14:paraId="39765B65" w14:textId="77777777" w:rsidR="00346B90" w:rsidRPr="00346B90" w:rsidRDefault="00346B90" w:rsidP="00860DE3">
            <w:pPr>
              <w:autoSpaceDE w:val="0"/>
              <w:autoSpaceDN w:val="0"/>
              <w:adjustRightInd w:val="0"/>
              <w:rPr>
                <w:rFonts w:ascii="TT Hoves Light" w:hAnsi="TT Hoves Light" w:cs="TimesNewRoman"/>
              </w:rPr>
            </w:pPr>
            <w:r w:rsidRPr="00346B90">
              <w:rPr>
                <w:rFonts w:ascii="TT Hoves Light" w:hAnsi="TT Hoves Light" w:cs="TimesNewRoman"/>
              </w:rPr>
              <w:t>Method for monitoring and engagement</w:t>
            </w:r>
          </w:p>
        </w:tc>
        <w:tc>
          <w:tcPr>
            <w:tcW w:w="2827" w:type="dxa"/>
            <w:shd w:val="clear" w:color="auto" w:fill="00BA8D"/>
            <w:vAlign w:val="center"/>
            <w:hideMark/>
          </w:tcPr>
          <w:p w14:paraId="0C9CFB33" w14:textId="77777777" w:rsidR="00346B90" w:rsidRPr="00346B90" w:rsidRDefault="00346B90" w:rsidP="00860DE3">
            <w:pPr>
              <w:autoSpaceDE w:val="0"/>
              <w:autoSpaceDN w:val="0"/>
              <w:adjustRightInd w:val="0"/>
              <w:rPr>
                <w:rFonts w:ascii="TT Hoves Light" w:hAnsi="TT Hoves Light" w:cs="TimesNewRoman"/>
              </w:rPr>
            </w:pPr>
            <w:r w:rsidRPr="00346B90">
              <w:rPr>
                <w:rFonts w:ascii="TT Hoves Light" w:hAnsi="TT Hoves Light" w:cs="TimesNewRoman"/>
              </w:rPr>
              <w:t>Circumstances for</w:t>
            </w:r>
          </w:p>
          <w:p w14:paraId="7D5D8E45" w14:textId="77777777" w:rsidR="00346B90" w:rsidRPr="00346B90" w:rsidRDefault="00346B90" w:rsidP="00860DE3">
            <w:pPr>
              <w:autoSpaceDE w:val="0"/>
              <w:autoSpaceDN w:val="0"/>
              <w:adjustRightInd w:val="0"/>
              <w:rPr>
                <w:rFonts w:ascii="TT Hoves Light" w:hAnsi="TT Hoves Light" w:cs="TimesNewRoman"/>
              </w:rPr>
            </w:pPr>
            <w:r w:rsidRPr="00346B90">
              <w:rPr>
                <w:rFonts w:ascii="TT Hoves Light" w:hAnsi="TT Hoves Light" w:cs="TimesNewRoman"/>
              </w:rPr>
              <w:t>additional monitoring and engagement</w:t>
            </w:r>
          </w:p>
        </w:tc>
      </w:tr>
      <w:tr w:rsidR="00346B90" w14:paraId="77B2A6CC" w14:textId="77777777" w:rsidTr="00BA122B">
        <w:trPr>
          <w:trHeight w:val="2622"/>
        </w:trPr>
        <w:tc>
          <w:tcPr>
            <w:tcW w:w="2826" w:type="dxa"/>
            <w:tcBorders>
              <w:top w:val="single" w:sz="4" w:space="0" w:color="44546A" w:themeColor="text2"/>
              <w:left w:val="nil"/>
              <w:bottom w:val="single" w:sz="4" w:space="0" w:color="44546A" w:themeColor="text2"/>
              <w:right w:val="nil"/>
            </w:tcBorders>
            <w:vAlign w:val="center"/>
            <w:hideMark/>
          </w:tcPr>
          <w:p w14:paraId="585C6921" w14:textId="13A5C0F4" w:rsidR="00346B90" w:rsidRPr="00346B90" w:rsidRDefault="00820E09" w:rsidP="00860DE3">
            <w:pPr>
              <w:autoSpaceDE w:val="0"/>
              <w:autoSpaceDN w:val="0"/>
              <w:adjustRightInd w:val="0"/>
              <w:rPr>
                <w:rFonts w:ascii="TT Hoves Light" w:hAnsi="TT Hoves Light" w:cs="TimesNewRoman"/>
              </w:rPr>
            </w:pPr>
            <w:r>
              <w:rPr>
                <w:rFonts w:ascii="TT Hoves Light" w:hAnsi="TT Hoves Light" w:cs="TimesNewRoman"/>
              </w:rPr>
              <w:t>Environmental, Social, Corpo</w:t>
            </w:r>
            <w:r w:rsidR="00BA122B">
              <w:rPr>
                <w:rFonts w:ascii="TT Hoves Light" w:hAnsi="TT Hoves Light" w:cs="TimesNewRoman"/>
              </w:rPr>
              <w:t>rate Governance factor and the exercising of rights</w:t>
            </w:r>
            <w:r w:rsidR="00152A8C">
              <w:rPr>
                <w:rFonts w:ascii="TT Hoves Light" w:hAnsi="TT Hoves Light" w:cs="TimesNewRoman"/>
              </w:rPr>
              <w:t>.</w:t>
            </w:r>
          </w:p>
        </w:tc>
        <w:tc>
          <w:tcPr>
            <w:tcW w:w="2827" w:type="dxa"/>
            <w:tcBorders>
              <w:top w:val="single" w:sz="4" w:space="0" w:color="44546A" w:themeColor="text2"/>
              <w:left w:val="nil"/>
              <w:bottom w:val="single" w:sz="4" w:space="0" w:color="44546A" w:themeColor="text2"/>
              <w:right w:val="nil"/>
            </w:tcBorders>
            <w:vAlign w:val="center"/>
          </w:tcPr>
          <w:p w14:paraId="04D8F234" w14:textId="177F08E5" w:rsidR="00346B90" w:rsidRPr="00BA122B" w:rsidRDefault="00BA122B" w:rsidP="00BA122B">
            <w:pPr>
              <w:pStyle w:val="ListParagraph"/>
              <w:numPr>
                <w:ilvl w:val="0"/>
                <w:numId w:val="13"/>
              </w:numPr>
              <w:rPr>
                <w:rFonts w:ascii="TT Hoves Light" w:hAnsi="TT Hoves Light" w:cs="TimesNewRoman"/>
                <w:color w:val="000000" w:themeColor="text1" w:themeShade="BF"/>
              </w:rPr>
            </w:pPr>
            <w:r w:rsidRPr="00BA122B">
              <w:rPr>
                <w:rFonts w:ascii="TT Hoves Light" w:hAnsi="TT Hoves Light" w:cs="TimesNewRoman"/>
              </w:rPr>
              <w:t>The Trustee receives information from its investment advisers and/or platform provider on the investment managers’ approaches to engagement.</w:t>
            </w:r>
          </w:p>
        </w:tc>
        <w:tc>
          <w:tcPr>
            <w:tcW w:w="2827" w:type="dxa"/>
            <w:tcBorders>
              <w:top w:val="single" w:sz="4" w:space="0" w:color="44546A" w:themeColor="text2"/>
              <w:left w:val="nil"/>
              <w:bottom w:val="single" w:sz="4" w:space="0" w:color="44546A" w:themeColor="text2"/>
              <w:right w:val="nil"/>
            </w:tcBorders>
            <w:vAlign w:val="center"/>
            <w:hideMark/>
          </w:tcPr>
          <w:p w14:paraId="49A84BA6" w14:textId="77777777" w:rsidR="00410EAD" w:rsidRDefault="00BA122B" w:rsidP="00BA122B">
            <w:pPr>
              <w:pStyle w:val="ListParagraph"/>
              <w:numPr>
                <w:ilvl w:val="0"/>
                <w:numId w:val="13"/>
              </w:numPr>
              <w:autoSpaceDE w:val="0"/>
              <w:autoSpaceDN w:val="0"/>
              <w:adjustRightInd w:val="0"/>
              <w:rPr>
                <w:rFonts w:ascii="TT Hoves Light" w:hAnsi="TT Hoves Light" w:cs="TimesNewRoman"/>
              </w:rPr>
            </w:pPr>
            <w:r w:rsidRPr="00BA122B">
              <w:rPr>
                <w:rFonts w:ascii="TT Hoves Light" w:hAnsi="TT Hoves Light" w:cs="TimesNewRoman"/>
              </w:rPr>
              <w:t>The manager has not ac</w:t>
            </w:r>
            <w:r>
              <w:rPr>
                <w:rFonts w:ascii="TT Hoves Light" w:hAnsi="TT Hoves Light" w:cs="TimesNewRoman"/>
              </w:rPr>
              <w:t>ted in accordance with their policies and frameworks.</w:t>
            </w:r>
          </w:p>
          <w:p w14:paraId="5062C1D3" w14:textId="6EF75C60" w:rsidR="00BA122B" w:rsidRPr="00BA122B" w:rsidRDefault="00BA122B" w:rsidP="00BA122B">
            <w:pPr>
              <w:pStyle w:val="ListParagraph"/>
              <w:numPr>
                <w:ilvl w:val="0"/>
                <w:numId w:val="13"/>
              </w:numPr>
              <w:autoSpaceDE w:val="0"/>
              <w:autoSpaceDN w:val="0"/>
              <w:adjustRightInd w:val="0"/>
              <w:rPr>
                <w:rFonts w:ascii="TT Hoves Light" w:hAnsi="TT Hoves Light" w:cs="TimesNewRoman"/>
              </w:rPr>
            </w:pPr>
            <w:r>
              <w:rPr>
                <w:rFonts w:ascii="TT Hoves Light" w:hAnsi="TT Hoves Light" w:cs="TimesNewRoman"/>
              </w:rPr>
              <w:t>The manager’s policies are not in line with the Trustee’s policies in this area.</w:t>
            </w:r>
          </w:p>
        </w:tc>
      </w:tr>
    </w:tbl>
    <w:p w14:paraId="6B091A47" w14:textId="21A08186" w:rsidR="00D8575F" w:rsidRDefault="00D8575F" w:rsidP="002156F1">
      <w:pPr>
        <w:rPr>
          <w:rFonts w:ascii="TT Hoves Light" w:hAnsi="TT Hoves Light" w:cs="Arial"/>
          <w:color w:val="000000"/>
          <w:sz w:val="20"/>
          <w:szCs w:val="20"/>
          <w:u w:val="single"/>
        </w:rPr>
      </w:pPr>
    </w:p>
    <w:p w14:paraId="74A605D0" w14:textId="77777777" w:rsidR="005E620A" w:rsidRPr="00E75593" w:rsidRDefault="005E620A" w:rsidP="005E620A">
      <w:pPr>
        <w:rPr>
          <w:rFonts w:ascii="TT Hoves Medium" w:hAnsi="TT Hoves Medium" w:cs="Arial"/>
          <w:color w:val="000000"/>
          <w:sz w:val="20"/>
          <w:szCs w:val="20"/>
        </w:rPr>
      </w:pPr>
    </w:p>
    <w:p w14:paraId="0E04BFA7" w14:textId="77777777" w:rsidR="00C31E90" w:rsidRDefault="00C31E90" w:rsidP="002156F1">
      <w:pPr>
        <w:rPr>
          <w:rFonts w:ascii="TT Hoves Medium" w:hAnsi="TT Hoves Medium" w:cs="Arial"/>
          <w:color w:val="000000"/>
          <w:sz w:val="20"/>
          <w:szCs w:val="20"/>
        </w:rPr>
      </w:pPr>
    </w:p>
    <w:p w14:paraId="1595C0D0" w14:textId="77777777" w:rsidR="00C31E90" w:rsidRDefault="00C31E90" w:rsidP="002156F1">
      <w:pPr>
        <w:rPr>
          <w:rFonts w:ascii="TT Hoves Medium" w:hAnsi="TT Hoves Medium" w:cs="Arial"/>
          <w:color w:val="000000"/>
          <w:sz w:val="20"/>
          <w:szCs w:val="20"/>
        </w:rPr>
      </w:pPr>
    </w:p>
    <w:p w14:paraId="41C78DA3" w14:textId="77777777" w:rsidR="00C31E90" w:rsidRDefault="00C31E90" w:rsidP="002156F1">
      <w:pPr>
        <w:rPr>
          <w:rFonts w:ascii="TT Hoves Medium" w:hAnsi="TT Hoves Medium" w:cs="Arial"/>
          <w:color w:val="000000"/>
          <w:sz w:val="20"/>
          <w:szCs w:val="20"/>
        </w:rPr>
      </w:pPr>
    </w:p>
    <w:p w14:paraId="2B29D36D" w14:textId="77777777" w:rsidR="00C31E90" w:rsidRDefault="00C31E90" w:rsidP="002156F1">
      <w:pPr>
        <w:rPr>
          <w:rFonts w:ascii="TT Hoves Medium" w:hAnsi="TT Hoves Medium" w:cs="Arial"/>
          <w:color w:val="000000"/>
          <w:sz w:val="20"/>
          <w:szCs w:val="20"/>
        </w:rPr>
      </w:pPr>
    </w:p>
    <w:p w14:paraId="76A0AE49" w14:textId="77777777" w:rsidR="00C31E90" w:rsidRDefault="00C31E90" w:rsidP="002156F1">
      <w:pPr>
        <w:rPr>
          <w:rFonts w:ascii="TT Hoves Medium" w:hAnsi="TT Hoves Medium" w:cs="Arial"/>
          <w:color w:val="000000"/>
          <w:sz w:val="20"/>
          <w:szCs w:val="20"/>
        </w:rPr>
      </w:pPr>
    </w:p>
    <w:p w14:paraId="15DD272F" w14:textId="77777777" w:rsidR="00C31E90" w:rsidRDefault="00C31E90" w:rsidP="002156F1">
      <w:pPr>
        <w:rPr>
          <w:rFonts w:ascii="TT Hoves Medium" w:hAnsi="TT Hoves Medium" w:cs="Arial"/>
          <w:color w:val="000000"/>
          <w:sz w:val="20"/>
          <w:szCs w:val="20"/>
        </w:rPr>
      </w:pPr>
    </w:p>
    <w:p w14:paraId="68DC78CC" w14:textId="77777777" w:rsidR="00C31E90" w:rsidRDefault="00C31E90" w:rsidP="002156F1">
      <w:pPr>
        <w:rPr>
          <w:rFonts w:ascii="TT Hoves Medium" w:hAnsi="TT Hoves Medium" w:cs="Arial"/>
          <w:color w:val="000000"/>
          <w:sz w:val="20"/>
          <w:szCs w:val="20"/>
        </w:rPr>
      </w:pPr>
    </w:p>
    <w:p w14:paraId="11CCC1F0" w14:textId="77777777" w:rsidR="00C31E90" w:rsidRDefault="00C31E90" w:rsidP="002156F1">
      <w:pPr>
        <w:rPr>
          <w:rFonts w:ascii="TT Hoves Medium" w:hAnsi="TT Hoves Medium" w:cs="Arial"/>
          <w:color w:val="000000"/>
          <w:sz w:val="20"/>
          <w:szCs w:val="20"/>
        </w:rPr>
      </w:pPr>
    </w:p>
    <w:p w14:paraId="59E8C410" w14:textId="77777777" w:rsidR="00C31E90" w:rsidRDefault="00C31E90" w:rsidP="002156F1">
      <w:pPr>
        <w:rPr>
          <w:rFonts w:ascii="TT Hoves Medium" w:hAnsi="TT Hoves Medium" w:cs="Arial"/>
          <w:color w:val="000000"/>
          <w:sz w:val="20"/>
          <w:szCs w:val="20"/>
        </w:rPr>
      </w:pPr>
    </w:p>
    <w:p w14:paraId="63B86EB6" w14:textId="77777777" w:rsidR="00C31E90" w:rsidRDefault="00C31E90" w:rsidP="002156F1">
      <w:pPr>
        <w:rPr>
          <w:rFonts w:ascii="TT Hoves Medium" w:hAnsi="TT Hoves Medium" w:cs="Arial"/>
          <w:color w:val="000000"/>
          <w:sz w:val="20"/>
          <w:szCs w:val="20"/>
        </w:rPr>
      </w:pPr>
    </w:p>
    <w:p w14:paraId="77D2C219" w14:textId="77777777" w:rsidR="00C31E90" w:rsidRDefault="00C31E90" w:rsidP="002156F1">
      <w:pPr>
        <w:rPr>
          <w:rFonts w:ascii="TT Hoves Medium" w:hAnsi="TT Hoves Medium" w:cs="Arial"/>
          <w:color w:val="000000"/>
          <w:sz w:val="20"/>
          <w:szCs w:val="20"/>
        </w:rPr>
      </w:pPr>
    </w:p>
    <w:p w14:paraId="58E7EF81" w14:textId="77777777" w:rsidR="00C31E90" w:rsidRDefault="00C31E90" w:rsidP="002156F1">
      <w:pPr>
        <w:rPr>
          <w:rFonts w:ascii="TT Hoves Medium" w:hAnsi="TT Hoves Medium" w:cs="Arial"/>
          <w:color w:val="000000"/>
          <w:sz w:val="20"/>
          <w:szCs w:val="20"/>
        </w:rPr>
      </w:pPr>
    </w:p>
    <w:p w14:paraId="1B6777F5" w14:textId="77777777" w:rsidR="00C31E90" w:rsidRDefault="00C31E90" w:rsidP="002156F1">
      <w:pPr>
        <w:rPr>
          <w:rFonts w:ascii="TT Hoves Medium" w:hAnsi="TT Hoves Medium" w:cs="Arial"/>
          <w:color w:val="000000"/>
          <w:sz w:val="20"/>
          <w:szCs w:val="20"/>
        </w:rPr>
      </w:pPr>
    </w:p>
    <w:p w14:paraId="020E6F8D" w14:textId="77777777" w:rsidR="00C31E90" w:rsidRDefault="00C31E90" w:rsidP="002156F1">
      <w:pPr>
        <w:rPr>
          <w:rFonts w:ascii="TT Hoves Medium" w:hAnsi="TT Hoves Medium" w:cs="Arial"/>
          <w:color w:val="000000"/>
          <w:sz w:val="20"/>
          <w:szCs w:val="20"/>
        </w:rPr>
      </w:pPr>
    </w:p>
    <w:p w14:paraId="0F3AF1D9" w14:textId="77777777" w:rsidR="00C31E90" w:rsidRDefault="00C31E90" w:rsidP="002156F1">
      <w:pPr>
        <w:rPr>
          <w:rFonts w:ascii="TT Hoves Medium" w:hAnsi="TT Hoves Medium" w:cs="Arial"/>
          <w:color w:val="000000"/>
          <w:sz w:val="20"/>
          <w:szCs w:val="20"/>
        </w:rPr>
      </w:pPr>
    </w:p>
    <w:p w14:paraId="78BF7CBB" w14:textId="77777777" w:rsidR="00C31E90" w:rsidRDefault="00C31E90" w:rsidP="002156F1">
      <w:pPr>
        <w:rPr>
          <w:rFonts w:ascii="TT Hoves Medium" w:hAnsi="TT Hoves Medium" w:cs="Arial"/>
          <w:color w:val="000000"/>
          <w:sz w:val="20"/>
          <w:szCs w:val="20"/>
        </w:rPr>
      </w:pPr>
    </w:p>
    <w:p w14:paraId="3F7FA8F2" w14:textId="77777777" w:rsidR="00C31E90" w:rsidRDefault="00C31E90" w:rsidP="002156F1">
      <w:pPr>
        <w:rPr>
          <w:rFonts w:ascii="TT Hoves Medium" w:hAnsi="TT Hoves Medium" w:cs="Arial"/>
          <w:color w:val="000000"/>
          <w:sz w:val="20"/>
          <w:szCs w:val="20"/>
        </w:rPr>
      </w:pPr>
    </w:p>
    <w:p w14:paraId="39BA4177" w14:textId="77777777" w:rsidR="00C31E90" w:rsidRDefault="00C31E90" w:rsidP="002156F1">
      <w:pPr>
        <w:rPr>
          <w:rFonts w:ascii="TT Hoves Medium" w:hAnsi="TT Hoves Medium" w:cs="Arial"/>
          <w:color w:val="000000"/>
          <w:sz w:val="20"/>
          <w:szCs w:val="20"/>
        </w:rPr>
      </w:pPr>
    </w:p>
    <w:p w14:paraId="56F90541" w14:textId="77777777" w:rsidR="00C31E90" w:rsidRDefault="00C31E90" w:rsidP="002156F1">
      <w:pPr>
        <w:rPr>
          <w:rFonts w:ascii="TT Hoves Medium" w:hAnsi="TT Hoves Medium" w:cs="Arial"/>
          <w:color w:val="000000"/>
          <w:sz w:val="20"/>
          <w:szCs w:val="20"/>
        </w:rPr>
      </w:pPr>
    </w:p>
    <w:p w14:paraId="2AF8900C" w14:textId="77777777" w:rsidR="00C31E90" w:rsidRDefault="00C31E90" w:rsidP="002156F1">
      <w:pPr>
        <w:rPr>
          <w:rFonts w:ascii="TT Hoves Medium" w:hAnsi="TT Hoves Medium" w:cs="Arial"/>
          <w:color w:val="000000"/>
          <w:sz w:val="20"/>
          <w:szCs w:val="20"/>
        </w:rPr>
      </w:pPr>
    </w:p>
    <w:p w14:paraId="46FD6851" w14:textId="77777777" w:rsidR="00C31E90" w:rsidRDefault="00C31E90" w:rsidP="002156F1">
      <w:pPr>
        <w:rPr>
          <w:rFonts w:ascii="TT Hoves Medium" w:hAnsi="TT Hoves Medium" w:cs="Arial"/>
          <w:color w:val="000000"/>
          <w:sz w:val="20"/>
          <w:szCs w:val="20"/>
        </w:rPr>
      </w:pPr>
    </w:p>
    <w:p w14:paraId="1512A0E2" w14:textId="77777777" w:rsidR="00C31E90" w:rsidRDefault="00C31E90" w:rsidP="002156F1">
      <w:pPr>
        <w:rPr>
          <w:rFonts w:ascii="TT Hoves Medium" w:hAnsi="TT Hoves Medium" w:cs="Arial"/>
          <w:color w:val="000000"/>
          <w:sz w:val="20"/>
          <w:szCs w:val="20"/>
        </w:rPr>
      </w:pPr>
    </w:p>
    <w:p w14:paraId="13EE19EE" w14:textId="77777777" w:rsidR="00C31E90" w:rsidRDefault="00C31E90" w:rsidP="002156F1">
      <w:pPr>
        <w:rPr>
          <w:rFonts w:ascii="TT Hoves Medium" w:hAnsi="TT Hoves Medium" w:cs="Arial"/>
          <w:color w:val="000000"/>
          <w:sz w:val="20"/>
          <w:szCs w:val="20"/>
        </w:rPr>
      </w:pPr>
    </w:p>
    <w:p w14:paraId="2595B93D" w14:textId="06B2C9A3" w:rsidR="00CC2A76" w:rsidRDefault="0092708D" w:rsidP="002156F1">
      <w:pPr>
        <w:rPr>
          <w:rFonts w:ascii="TT Hoves Medium" w:hAnsi="TT Hoves Medium" w:cs="Arial"/>
          <w:color w:val="000000"/>
          <w:sz w:val="20"/>
          <w:szCs w:val="20"/>
        </w:rPr>
      </w:pPr>
      <w:r w:rsidRPr="0092708D">
        <w:rPr>
          <w:rFonts w:ascii="TT Hoves Medium" w:hAnsi="TT Hoves Medium" w:cs="Arial"/>
          <w:color w:val="000000"/>
          <w:sz w:val="20"/>
          <w:szCs w:val="20"/>
        </w:rPr>
        <w:lastRenderedPageBreak/>
        <w:t xml:space="preserve">Engagement and Voting </w:t>
      </w:r>
    </w:p>
    <w:p w14:paraId="006E3920" w14:textId="77777777" w:rsidR="00947A6D" w:rsidRDefault="00947A6D" w:rsidP="002156F1">
      <w:pPr>
        <w:rPr>
          <w:rFonts w:ascii="TT Hoves Light" w:hAnsi="TT Hoves Light" w:cs="Arial"/>
          <w:color w:val="000000"/>
          <w:sz w:val="20"/>
          <w:szCs w:val="20"/>
        </w:rPr>
      </w:pPr>
    </w:p>
    <w:p w14:paraId="5E89859B" w14:textId="0DD4112C" w:rsidR="009A2931" w:rsidRDefault="00316004" w:rsidP="002156F1">
      <w:pPr>
        <w:rPr>
          <w:rFonts w:ascii="TT Hoves Light" w:hAnsi="TT Hoves Light" w:cs="Arial"/>
          <w:color w:val="000000"/>
          <w:sz w:val="20"/>
          <w:szCs w:val="20"/>
        </w:rPr>
      </w:pPr>
      <w:r>
        <w:rPr>
          <w:rFonts w:ascii="TT Hoves Light" w:hAnsi="TT Hoves Light" w:cs="Arial"/>
          <w:color w:val="000000"/>
          <w:sz w:val="20"/>
          <w:szCs w:val="20"/>
        </w:rPr>
        <w:t>Please see below for detail</w:t>
      </w:r>
      <w:r w:rsidR="00525B6C">
        <w:rPr>
          <w:rFonts w:ascii="TT Hoves Light" w:hAnsi="TT Hoves Light" w:cs="Arial"/>
          <w:color w:val="000000"/>
          <w:sz w:val="20"/>
          <w:szCs w:val="20"/>
        </w:rPr>
        <w:t>s</w:t>
      </w:r>
      <w:r>
        <w:rPr>
          <w:rFonts w:ascii="TT Hoves Light" w:hAnsi="TT Hoves Light" w:cs="Arial"/>
          <w:color w:val="000000"/>
          <w:sz w:val="20"/>
          <w:szCs w:val="20"/>
        </w:rPr>
        <w:t xml:space="preserve"> on the </w:t>
      </w:r>
      <w:r w:rsidR="00681125" w:rsidRPr="00681125">
        <w:rPr>
          <w:rFonts w:ascii="TT Hoves Light" w:hAnsi="TT Hoves Light" w:cs="Arial"/>
          <w:color w:val="000000"/>
          <w:sz w:val="20"/>
          <w:szCs w:val="20"/>
        </w:rPr>
        <w:t xml:space="preserve">engagement and voting actions including a summary of the activity for </w:t>
      </w:r>
      <w:r w:rsidR="00681125" w:rsidRPr="00987D8A">
        <w:rPr>
          <w:rFonts w:ascii="TT Hoves Light" w:hAnsi="TT Hoves Light" w:cs="Arial"/>
          <w:color w:val="000000"/>
          <w:sz w:val="20"/>
          <w:szCs w:val="20"/>
        </w:rPr>
        <w:t xml:space="preserve">the 12 months to </w:t>
      </w:r>
      <w:r w:rsidR="00987D8A" w:rsidRPr="00987D8A">
        <w:rPr>
          <w:rFonts w:ascii="TT Hoves Light" w:hAnsi="TT Hoves Light" w:cs="Arial"/>
          <w:color w:val="000000"/>
          <w:sz w:val="20"/>
          <w:szCs w:val="20"/>
        </w:rPr>
        <w:t>31 December</w:t>
      </w:r>
      <w:r w:rsidR="00731C24">
        <w:rPr>
          <w:rFonts w:ascii="TT Hoves Light" w:hAnsi="TT Hoves Light" w:cs="Arial"/>
          <w:color w:val="000000"/>
          <w:sz w:val="20"/>
          <w:szCs w:val="20"/>
        </w:rPr>
        <w:t xml:space="preserve"> 2020</w:t>
      </w:r>
      <w:r w:rsidR="00681125" w:rsidRPr="00987D8A">
        <w:rPr>
          <w:rFonts w:ascii="TT Hoves Light" w:hAnsi="TT Hoves Light" w:cs="Arial"/>
          <w:color w:val="000000"/>
          <w:sz w:val="20"/>
          <w:szCs w:val="20"/>
        </w:rPr>
        <w:t>.</w:t>
      </w:r>
      <w:r w:rsidR="00681125" w:rsidRPr="00681125">
        <w:rPr>
          <w:rFonts w:ascii="TT Hoves Light" w:hAnsi="TT Hoves Light" w:cs="Arial"/>
          <w:color w:val="000000"/>
          <w:sz w:val="20"/>
          <w:szCs w:val="20"/>
        </w:rPr>
        <w:t xml:space="preserve"> </w:t>
      </w:r>
    </w:p>
    <w:p w14:paraId="52AE622B" w14:textId="77777777" w:rsidR="009A2931" w:rsidRDefault="009A2931" w:rsidP="002156F1">
      <w:pPr>
        <w:rPr>
          <w:rFonts w:ascii="TT Hoves Light" w:hAnsi="TT Hoves Light" w:cs="Arial"/>
          <w:color w:val="000000"/>
          <w:sz w:val="20"/>
          <w:szCs w:val="20"/>
        </w:rPr>
      </w:pPr>
    </w:p>
    <w:p w14:paraId="7C5D1E4C" w14:textId="0A9BE640" w:rsidR="00E23DA5" w:rsidRPr="00D62239" w:rsidRDefault="00CC7CD8" w:rsidP="002156F1">
      <w:pPr>
        <w:rPr>
          <w:rFonts w:ascii="TT Hoves Light" w:hAnsi="TT Hoves Light" w:cs="Arial"/>
          <w:color w:val="000000"/>
          <w:sz w:val="20"/>
          <w:szCs w:val="20"/>
          <w:u w:val="single"/>
        </w:rPr>
      </w:pPr>
      <w:r>
        <w:rPr>
          <w:rFonts w:ascii="TT Hoves Light" w:hAnsi="TT Hoves Light" w:cs="Arial"/>
          <w:color w:val="000000"/>
          <w:sz w:val="20"/>
          <w:szCs w:val="20"/>
          <w:u w:val="single"/>
        </w:rPr>
        <w:t>Engagement</w:t>
      </w:r>
    </w:p>
    <w:p w14:paraId="5E259033" w14:textId="77777777" w:rsidR="0044770E" w:rsidRDefault="0044770E" w:rsidP="002156F1">
      <w:pPr>
        <w:rPr>
          <w:rFonts w:ascii="TT Hoves Light" w:hAnsi="TT Hoves Light" w:cs="Arial"/>
          <w:color w:val="000000"/>
          <w:sz w:val="20"/>
          <w:szCs w:val="20"/>
        </w:rPr>
      </w:pPr>
    </w:p>
    <w:p w14:paraId="531F1807" w14:textId="7B998DD1" w:rsidR="00E75593" w:rsidRDefault="001C077C" w:rsidP="002156F1">
      <w:pPr>
        <w:rPr>
          <w:rFonts w:ascii="TT Hoves Light" w:hAnsi="TT Hoves Light" w:cs="Arial"/>
          <w:color w:val="000000"/>
          <w:sz w:val="20"/>
          <w:szCs w:val="20"/>
        </w:rPr>
      </w:pPr>
      <w:r>
        <w:rPr>
          <w:rFonts w:ascii="TT Hoves Light" w:hAnsi="TT Hoves Light" w:cs="Arial"/>
          <w:color w:val="000000"/>
          <w:sz w:val="20"/>
          <w:szCs w:val="20"/>
        </w:rPr>
        <w:t>T</w:t>
      </w:r>
      <w:r w:rsidR="0044770E" w:rsidRPr="0044770E">
        <w:rPr>
          <w:rFonts w:ascii="TT Hoves Light" w:hAnsi="TT Hoves Light" w:cs="Arial"/>
          <w:color w:val="000000"/>
          <w:sz w:val="20"/>
          <w:szCs w:val="20"/>
        </w:rPr>
        <w:t>he Scheme</w:t>
      </w:r>
      <w:r w:rsidR="00F83641">
        <w:rPr>
          <w:rFonts w:ascii="TT Hoves Light" w:hAnsi="TT Hoves Light" w:cs="Arial"/>
          <w:color w:val="000000"/>
          <w:sz w:val="20"/>
          <w:szCs w:val="20"/>
        </w:rPr>
        <w:t>’s investments</w:t>
      </w:r>
      <w:r>
        <w:rPr>
          <w:rFonts w:ascii="TT Hoves Light" w:hAnsi="TT Hoves Light" w:cs="Arial"/>
          <w:color w:val="000000"/>
          <w:sz w:val="20"/>
          <w:szCs w:val="20"/>
        </w:rPr>
        <w:t xml:space="preserve"> ha</w:t>
      </w:r>
      <w:r w:rsidR="00F83641">
        <w:rPr>
          <w:rFonts w:ascii="TT Hoves Light" w:hAnsi="TT Hoves Light" w:cs="Arial"/>
          <w:color w:val="000000"/>
          <w:sz w:val="20"/>
          <w:szCs w:val="20"/>
        </w:rPr>
        <w:t>ve</w:t>
      </w:r>
      <w:r w:rsidR="00731C24">
        <w:rPr>
          <w:rFonts w:ascii="TT Hoves Light" w:hAnsi="TT Hoves Light" w:cs="Arial"/>
          <w:color w:val="000000"/>
          <w:sz w:val="20"/>
          <w:szCs w:val="20"/>
        </w:rPr>
        <w:t xml:space="preserve"> </w:t>
      </w:r>
      <w:r w:rsidR="0044770E" w:rsidRPr="00987D8A">
        <w:rPr>
          <w:rFonts w:ascii="TT Hoves Light" w:hAnsi="TT Hoves Light" w:cs="Arial"/>
          <w:color w:val="000000"/>
          <w:sz w:val="20"/>
          <w:szCs w:val="20"/>
        </w:rPr>
        <w:t xml:space="preserve">provided details on </w:t>
      </w:r>
      <w:r w:rsidR="00F83641">
        <w:rPr>
          <w:rFonts w:ascii="TT Hoves Light" w:hAnsi="TT Hoves Light" w:cs="Arial"/>
          <w:color w:val="000000"/>
          <w:sz w:val="20"/>
          <w:szCs w:val="20"/>
        </w:rPr>
        <w:t>their</w:t>
      </w:r>
      <w:r w:rsidR="00731C24" w:rsidRPr="00987D8A">
        <w:rPr>
          <w:rFonts w:ascii="TT Hoves Light" w:hAnsi="TT Hoves Light" w:cs="Arial"/>
          <w:color w:val="000000"/>
          <w:sz w:val="20"/>
          <w:szCs w:val="20"/>
        </w:rPr>
        <w:t xml:space="preserve"> </w:t>
      </w:r>
      <w:r w:rsidR="0044770E" w:rsidRPr="00987D8A">
        <w:rPr>
          <w:rFonts w:ascii="TT Hoves Light" w:hAnsi="TT Hoves Light" w:cs="Arial"/>
          <w:color w:val="000000"/>
          <w:sz w:val="20"/>
          <w:szCs w:val="20"/>
        </w:rPr>
        <w:t>engagement actions</w:t>
      </w:r>
      <w:r w:rsidR="00731C24">
        <w:rPr>
          <w:rFonts w:ascii="TT Hoves Light" w:hAnsi="TT Hoves Light" w:cs="Arial"/>
          <w:color w:val="000000"/>
          <w:sz w:val="20"/>
          <w:szCs w:val="20"/>
        </w:rPr>
        <w:t>.</w:t>
      </w:r>
      <w:r w:rsidR="0044770E" w:rsidRPr="00987D8A">
        <w:rPr>
          <w:rFonts w:ascii="TT Hoves Light" w:hAnsi="TT Hoves Light" w:cs="Arial"/>
          <w:color w:val="000000"/>
          <w:sz w:val="20"/>
          <w:szCs w:val="20"/>
        </w:rPr>
        <w:t xml:space="preserve"> including a summary by category</w:t>
      </w:r>
      <w:r w:rsidR="00731C24">
        <w:rPr>
          <w:rFonts w:ascii="TT Hoves Light" w:hAnsi="TT Hoves Light" w:cs="Arial"/>
          <w:color w:val="000000"/>
          <w:sz w:val="20"/>
          <w:szCs w:val="20"/>
        </w:rPr>
        <w:t>,</w:t>
      </w:r>
      <w:r w:rsidR="0044770E" w:rsidRPr="00987D8A">
        <w:rPr>
          <w:rFonts w:ascii="TT Hoves Light" w:hAnsi="TT Hoves Light" w:cs="Arial"/>
          <w:color w:val="000000"/>
          <w:sz w:val="20"/>
          <w:szCs w:val="20"/>
        </w:rPr>
        <w:t xml:space="preserve"> for the 12 months to </w:t>
      </w:r>
      <w:r w:rsidR="00EC5DE4" w:rsidRPr="00987D8A">
        <w:rPr>
          <w:rFonts w:ascii="TT Hoves Light" w:hAnsi="TT Hoves Light" w:cs="Arial"/>
          <w:color w:val="000000"/>
          <w:sz w:val="20"/>
          <w:szCs w:val="20"/>
        </w:rPr>
        <w:t>31 December 2020</w:t>
      </w:r>
      <w:r w:rsidR="0044770E" w:rsidRPr="00987D8A">
        <w:rPr>
          <w:rFonts w:ascii="TT Hoves Light" w:hAnsi="TT Hoves Light" w:cs="Arial"/>
          <w:color w:val="000000"/>
          <w:sz w:val="20"/>
          <w:szCs w:val="20"/>
        </w:rPr>
        <w:t>.</w:t>
      </w:r>
    </w:p>
    <w:p w14:paraId="1650DF48" w14:textId="1A59B83E" w:rsidR="00CC7CD8" w:rsidRDefault="00CC7CD8" w:rsidP="002156F1">
      <w:pPr>
        <w:rPr>
          <w:rFonts w:ascii="TT Hoves Light" w:hAnsi="TT Hoves Light" w:cs="Arial"/>
          <w:color w:val="000000"/>
          <w:sz w:val="20"/>
          <w:szCs w:val="20"/>
        </w:rPr>
      </w:pPr>
    </w:p>
    <w:p w14:paraId="7EFDEB33" w14:textId="647E470F" w:rsidR="0086126D" w:rsidRDefault="00827415" w:rsidP="002156F1">
      <w:pPr>
        <w:rPr>
          <w:rFonts w:ascii="TT Hoves Light" w:hAnsi="TT Hoves Light" w:cs="Arial"/>
          <w:color w:val="000000"/>
          <w:sz w:val="20"/>
          <w:szCs w:val="20"/>
        </w:rPr>
      </w:pPr>
      <w:r>
        <w:rPr>
          <w:rFonts w:ascii="TT Hoves Light" w:hAnsi="TT Hoves Light" w:cs="Arial"/>
          <w:color w:val="000000"/>
          <w:sz w:val="20"/>
          <w:szCs w:val="20"/>
        </w:rPr>
        <w:t>M&amp;G have not provided engagement information related to their Gilts-based funds.</w:t>
      </w:r>
    </w:p>
    <w:p w14:paraId="190C3ABE" w14:textId="77777777" w:rsidR="00466B8A" w:rsidRDefault="00466B8A" w:rsidP="002156F1">
      <w:pPr>
        <w:rPr>
          <w:rFonts w:ascii="TT Hoves Light" w:hAnsi="TT Hoves Light" w:cs="Arial"/>
          <w:color w:val="000000"/>
          <w:sz w:val="20"/>
          <w:szCs w:val="20"/>
        </w:rPr>
      </w:pPr>
    </w:p>
    <w:p w14:paraId="27463B4C" w14:textId="77777777" w:rsidR="00CC7CD8" w:rsidRPr="0044770E" w:rsidRDefault="00CC7CD8" w:rsidP="002156F1">
      <w:pPr>
        <w:rPr>
          <w:rFonts w:ascii="TT Hoves Light" w:hAnsi="TT Hoves Light" w:cs="Arial"/>
          <w:color w:val="000000"/>
          <w:sz w:val="20"/>
          <w:szCs w:val="20"/>
        </w:rPr>
      </w:pPr>
    </w:p>
    <w:tbl>
      <w:tblPr>
        <w:tblStyle w:val="IsioDarkHeader"/>
        <w:tblW w:w="0" w:type="auto"/>
        <w:tblLook w:val="04A0" w:firstRow="1" w:lastRow="0" w:firstColumn="1" w:lastColumn="0" w:noHBand="0" w:noVBand="1"/>
      </w:tblPr>
      <w:tblGrid>
        <w:gridCol w:w="1059"/>
        <w:gridCol w:w="2976"/>
        <w:gridCol w:w="3969"/>
      </w:tblGrid>
      <w:tr w:rsidR="00F972CE" w:rsidRPr="00346B90" w14:paraId="47FFDAD6" w14:textId="77777777" w:rsidTr="00434ED7">
        <w:trPr>
          <w:cnfStyle w:val="100000000000" w:firstRow="1" w:lastRow="0" w:firstColumn="0" w:lastColumn="0" w:oddVBand="0" w:evenVBand="0" w:oddHBand="0" w:evenHBand="0" w:firstRowFirstColumn="0" w:firstRowLastColumn="0" w:lastRowFirstColumn="0" w:lastRowLastColumn="0"/>
          <w:trHeight w:val="613"/>
        </w:trPr>
        <w:tc>
          <w:tcPr>
            <w:tcW w:w="1059" w:type="dxa"/>
            <w:tcBorders>
              <w:bottom w:val="single" w:sz="4" w:space="0" w:color="44546A" w:themeColor="text2"/>
            </w:tcBorders>
            <w:shd w:val="clear" w:color="auto" w:fill="00BA8D"/>
            <w:vAlign w:val="center"/>
            <w:hideMark/>
          </w:tcPr>
          <w:p w14:paraId="0294A2FA" w14:textId="25E4A842" w:rsidR="00F972CE" w:rsidRPr="00F972CE" w:rsidRDefault="00F972CE" w:rsidP="00F972CE">
            <w:pPr>
              <w:autoSpaceDE w:val="0"/>
              <w:autoSpaceDN w:val="0"/>
              <w:adjustRightInd w:val="0"/>
              <w:rPr>
                <w:rFonts w:ascii="TT Hoves Medium" w:hAnsi="TT Hoves Medium" w:cs="TimesNewRoman"/>
              </w:rPr>
            </w:pPr>
            <w:r w:rsidRPr="00F972CE">
              <w:rPr>
                <w:rFonts w:ascii="TT Hoves Medium" w:hAnsi="TT Hoves Medium" w:cs="TimesNewRoman"/>
              </w:rPr>
              <w:t>Fund name</w:t>
            </w:r>
          </w:p>
        </w:tc>
        <w:tc>
          <w:tcPr>
            <w:tcW w:w="2976" w:type="dxa"/>
            <w:shd w:val="clear" w:color="auto" w:fill="00BA8D"/>
            <w:vAlign w:val="center"/>
            <w:hideMark/>
          </w:tcPr>
          <w:p w14:paraId="1B3D10A9" w14:textId="16327D12" w:rsidR="00F972CE" w:rsidRPr="00F972CE" w:rsidRDefault="00F972CE" w:rsidP="00F972CE">
            <w:pPr>
              <w:autoSpaceDE w:val="0"/>
              <w:autoSpaceDN w:val="0"/>
              <w:adjustRightInd w:val="0"/>
              <w:rPr>
                <w:rFonts w:ascii="TT Hoves Medium" w:hAnsi="TT Hoves Medium" w:cs="TimesNewRoman"/>
              </w:rPr>
            </w:pPr>
            <w:r w:rsidRPr="00F972CE">
              <w:rPr>
                <w:rFonts w:ascii="TT Hoves Medium" w:hAnsi="TT Hoves Medium" w:cs="TimesNewRoman"/>
              </w:rPr>
              <w:t>Engagement summary</w:t>
            </w:r>
          </w:p>
        </w:tc>
        <w:tc>
          <w:tcPr>
            <w:tcW w:w="3969" w:type="dxa"/>
            <w:shd w:val="clear" w:color="auto" w:fill="00BA8D"/>
            <w:vAlign w:val="center"/>
            <w:hideMark/>
          </w:tcPr>
          <w:p w14:paraId="08FF5F83" w14:textId="00E2412F" w:rsidR="00F972CE" w:rsidRPr="00F972CE" w:rsidRDefault="00F972CE" w:rsidP="00F972CE">
            <w:pPr>
              <w:autoSpaceDE w:val="0"/>
              <w:autoSpaceDN w:val="0"/>
              <w:adjustRightInd w:val="0"/>
              <w:rPr>
                <w:rFonts w:ascii="TT Hoves Medium" w:hAnsi="TT Hoves Medium" w:cs="TimesNewRoman"/>
              </w:rPr>
            </w:pPr>
            <w:r w:rsidRPr="00F972CE">
              <w:rPr>
                <w:rFonts w:ascii="TT Hoves Medium" w:hAnsi="TT Hoves Medium" w:cs="TimesNewRoman"/>
              </w:rPr>
              <w:t>Commentary</w:t>
            </w:r>
          </w:p>
        </w:tc>
      </w:tr>
      <w:tr w:rsidR="00726529" w:rsidRPr="00346B90" w14:paraId="560352A2" w14:textId="77777777" w:rsidTr="00434ED7">
        <w:trPr>
          <w:trHeight w:val="2622"/>
        </w:trPr>
        <w:tc>
          <w:tcPr>
            <w:tcW w:w="1059" w:type="dxa"/>
            <w:tcBorders>
              <w:top w:val="single" w:sz="4" w:space="0" w:color="44546A" w:themeColor="text2"/>
              <w:left w:val="nil"/>
              <w:bottom w:val="single" w:sz="4" w:space="0" w:color="FFFFFF" w:themeColor="background1"/>
              <w:right w:val="nil"/>
            </w:tcBorders>
            <w:shd w:val="clear" w:color="auto" w:fill="BFEEE3"/>
            <w:vAlign w:val="center"/>
          </w:tcPr>
          <w:p w14:paraId="46EBC91A" w14:textId="4FAD1E2C" w:rsidR="00726529" w:rsidRPr="00F81277" w:rsidRDefault="00802BE6" w:rsidP="00F81277">
            <w:pPr>
              <w:autoSpaceDE w:val="0"/>
              <w:autoSpaceDN w:val="0"/>
              <w:adjustRightInd w:val="0"/>
              <w:rPr>
                <w:rFonts w:ascii="TT Hoves Medium" w:hAnsi="TT Hoves Medium" w:cs="TimesNewRoman"/>
              </w:rPr>
            </w:pPr>
            <w:r>
              <w:rPr>
                <w:rFonts w:ascii="TT Hoves Medium" w:hAnsi="TT Hoves Medium" w:cs="TimesNewRoman"/>
              </w:rPr>
              <w:t>M&amp;G Long Dated Corporate Bond Fund</w:t>
            </w:r>
          </w:p>
        </w:tc>
        <w:tc>
          <w:tcPr>
            <w:tcW w:w="2976" w:type="dxa"/>
            <w:tcBorders>
              <w:top w:val="single" w:sz="4" w:space="0" w:color="44546A" w:themeColor="text2"/>
              <w:left w:val="nil"/>
              <w:bottom w:val="single" w:sz="4" w:space="0" w:color="44546A" w:themeColor="text2"/>
              <w:right w:val="nil"/>
            </w:tcBorders>
            <w:vAlign w:val="center"/>
          </w:tcPr>
          <w:p w14:paraId="6BAFF5AA" w14:textId="77777777" w:rsidR="00726529" w:rsidRDefault="00E3104D" w:rsidP="002A7BD0">
            <w:pPr>
              <w:rPr>
                <w:rFonts w:ascii="TT Hoves Light" w:hAnsi="TT Hoves Light" w:cs="TimesNewRoman"/>
                <w:color w:val="000000" w:themeColor="text1" w:themeShade="BF"/>
              </w:rPr>
            </w:pPr>
            <w:r>
              <w:rPr>
                <w:rFonts w:ascii="TT Hoves Light" w:hAnsi="TT Hoves Light" w:cs="TimesNewRoman"/>
                <w:color w:val="000000" w:themeColor="text1" w:themeShade="BF"/>
              </w:rPr>
              <w:t>Total engagements: 10</w:t>
            </w:r>
          </w:p>
          <w:p w14:paraId="0D146022" w14:textId="77777777" w:rsidR="00E3104D" w:rsidRDefault="00E3104D" w:rsidP="002A7BD0">
            <w:pPr>
              <w:rPr>
                <w:rFonts w:ascii="TT Hoves Light" w:hAnsi="TT Hoves Light" w:cs="TimesNewRoman"/>
                <w:color w:val="000000" w:themeColor="text1" w:themeShade="BF"/>
              </w:rPr>
            </w:pPr>
          </w:p>
          <w:p w14:paraId="57C4900E" w14:textId="77777777" w:rsidR="00477EA1" w:rsidRDefault="00477EA1" w:rsidP="002A7BD0">
            <w:pPr>
              <w:rPr>
                <w:rFonts w:ascii="TT Hoves Light" w:hAnsi="TT Hoves Light" w:cs="TimesNewRoman"/>
                <w:color w:val="000000" w:themeColor="text1" w:themeShade="BF"/>
              </w:rPr>
            </w:pPr>
            <w:r>
              <w:rPr>
                <w:rFonts w:ascii="TT Hoves Light" w:hAnsi="TT Hoves Light" w:cs="TimesNewRoman"/>
                <w:color w:val="000000" w:themeColor="text1" w:themeShade="BF"/>
              </w:rPr>
              <w:t>ESG-related: 10</w:t>
            </w:r>
          </w:p>
          <w:p w14:paraId="1F772C8A" w14:textId="77777777" w:rsidR="00477EA1" w:rsidRDefault="00477EA1" w:rsidP="002A7BD0">
            <w:pPr>
              <w:rPr>
                <w:rFonts w:ascii="TT Hoves Light" w:hAnsi="TT Hoves Light" w:cs="TimesNewRoman"/>
                <w:color w:val="000000" w:themeColor="text1" w:themeShade="BF"/>
              </w:rPr>
            </w:pPr>
          </w:p>
          <w:p w14:paraId="5E8ED25F" w14:textId="3ECD7789" w:rsidR="00477EA1" w:rsidRDefault="00477EA1" w:rsidP="002A7BD0">
            <w:pPr>
              <w:rPr>
                <w:rFonts w:ascii="TT Hoves Light" w:hAnsi="TT Hoves Light" w:cs="TimesNewRoman"/>
                <w:color w:val="000000" w:themeColor="text1" w:themeShade="BF"/>
              </w:rPr>
            </w:pPr>
            <w:r>
              <w:rPr>
                <w:rFonts w:ascii="TT Hoves Light" w:hAnsi="TT Hoves Light" w:cs="TimesNewRoman"/>
                <w:color w:val="000000" w:themeColor="text1" w:themeShade="BF"/>
              </w:rPr>
              <w:t>Other: 0</w:t>
            </w:r>
          </w:p>
        </w:tc>
        <w:tc>
          <w:tcPr>
            <w:tcW w:w="3969" w:type="dxa"/>
            <w:tcBorders>
              <w:top w:val="single" w:sz="4" w:space="0" w:color="44546A" w:themeColor="text2"/>
              <w:left w:val="nil"/>
              <w:right w:val="nil"/>
            </w:tcBorders>
            <w:vAlign w:val="center"/>
          </w:tcPr>
          <w:p w14:paraId="19E5DF0E" w14:textId="77777777" w:rsidR="006C615A" w:rsidRDefault="006C615A" w:rsidP="006C615A">
            <w:pPr>
              <w:pStyle w:val="ListParagraph"/>
              <w:autoSpaceDE w:val="0"/>
              <w:autoSpaceDN w:val="0"/>
              <w:adjustRightInd w:val="0"/>
              <w:ind w:left="0"/>
              <w:rPr>
                <w:rFonts w:ascii="TT Hoves Light" w:hAnsi="TT Hoves Light" w:cs="TimesNewRoman"/>
              </w:rPr>
            </w:pPr>
            <w:r>
              <w:rPr>
                <w:rFonts w:ascii="TT Hoves Light" w:hAnsi="TT Hoves Light" w:cs="TimesNewRoman"/>
              </w:rPr>
              <w:t>M&amp;G aims to engage with senior individuals across various environment teams and seek to identify key risks from an environmental perspective. Across different industries, they monitor and engage companies on a broad range of issues such as climate change strategies, supply chain transparency, director renumeration, environmental, social issues, transparency and disclosure.</w:t>
            </w:r>
          </w:p>
          <w:p w14:paraId="22AAE00C" w14:textId="77777777" w:rsidR="006C615A" w:rsidRDefault="006C615A" w:rsidP="006C615A">
            <w:pPr>
              <w:pStyle w:val="ListParagraph"/>
              <w:autoSpaceDE w:val="0"/>
              <w:autoSpaceDN w:val="0"/>
              <w:adjustRightInd w:val="0"/>
              <w:ind w:left="0"/>
              <w:rPr>
                <w:rFonts w:ascii="TT Hoves Light" w:hAnsi="TT Hoves Light" w:cs="TimesNewRoman"/>
              </w:rPr>
            </w:pPr>
          </w:p>
          <w:p w14:paraId="1061FC89" w14:textId="77777777" w:rsidR="006C615A" w:rsidRDefault="006C615A" w:rsidP="006C615A">
            <w:pPr>
              <w:pStyle w:val="ListParagraph"/>
              <w:autoSpaceDE w:val="0"/>
              <w:autoSpaceDN w:val="0"/>
              <w:adjustRightInd w:val="0"/>
              <w:ind w:left="0"/>
              <w:rPr>
                <w:rFonts w:ascii="TT Hoves Light" w:hAnsi="TT Hoves Light" w:cs="TimesNewRoman"/>
              </w:rPr>
            </w:pPr>
            <w:r>
              <w:rPr>
                <w:rFonts w:ascii="TT Hoves Light" w:hAnsi="TT Hoves Light" w:cs="TimesNewRoman"/>
              </w:rPr>
              <w:t xml:space="preserve">An example of a specific engagement: </w:t>
            </w:r>
          </w:p>
          <w:p w14:paraId="1085A0BB" w14:textId="77777777" w:rsidR="00726529" w:rsidRDefault="00726529" w:rsidP="00824013">
            <w:pPr>
              <w:pStyle w:val="ListParagraph"/>
              <w:autoSpaceDE w:val="0"/>
              <w:autoSpaceDN w:val="0"/>
              <w:adjustRightInd w:val="0"/>
              <w:ind w:left="0"/>
              <w:rPr>
                <w:rFonts w:ascii="TT Hoves Light" w:hAnsi="TT Hoves Light" w:cs="TimesNewRoman"/>
              </w:rPr>
            </w:pPr>
          </w:p>
          <w:p w14:paraId="0D5C12E8" w14:textId="77777777" w:rsidR="001E3818" w:rsidRDefault="00F075B6" w:rsidP="00824013">
            <w:pPr>
              <w:pStyle w:val="ListParagraph"/>
              <w:autoSpaceDE w:val="0"/>
              <w:autoSpaceDN w:val="0"/>
              <w:adjustRightInd w:val="0"/>
              <w:ind w:left="0"/>
              <w:rPr>
                <w:rFonts w:ascii="TT Hoves Light" w:hAnsi="TT Hoves Light" w:cs="TimesNewRoman"/>
              </w:rPr>
            </w:pPr>
            <w:r w:rsidRPr="000F2ED1">
              <w:rPr>
                <w:rFonts w:ascii="TT Hoves Medium" w:hAnsi="TT Hoves Medium" w:cs="TimesNewRoman"/>
              </w:rPr>
              <w:t>AB InBev</w:t>
            </w:r>
            <w:r>
              <w:rPr>
                <w:rFonts w:ascii="TT Hoves Light" w:hAnsi="TT Hoves Light" w:cs="TimesNewRoman"/>
              </w:rPr>
              <w:t xml:space="preserve"> – M&amp;G met with the IR and sustainability teams to urge AB InBex to set medium-term scope 1-3 emissions reduction targets, as well as a net zero target for 2050 or sooner.</w:t>
            </w:r>
          </w:p>
          <w:p w14:paraId="6C8F16AC" w14:textId="77777777" w:rsidR="001E3818" w:rsidRDefault="001E3818" w:rsidP="00824013">
            <w:pPr>
              <w:pStyle w:val="ListParagraph"/>
              <w:autoSpaceDE w:val="0"/>
              <w:autoSpaceDN w:val="0"/>
              <w:adjustRightInd w:val="0"/>
              <w:ind w:left="0"/>
              <w:rPr>
                <w:rFonts w:ascii="TT Hoves Light" w:hAnsi="TT Hoves Light" w:cs="TimesNewRoman"/>
              </w:rPr>
            </w:pPr>
          </w:p>
          <w:p w14:paraId="28295DE1" w14:textId="5EF5D87A" w:rsidR="00561130" w:rsidRDefault="001E3818" w:rsidP="00824013">
            <w:pPr>
              <w:pStyle w:val="ListParagraph"/>
              <w:autoSpaceDE w:val="0"/>
              <w:autoSpaceDN w:val="0"/>
              <w:adjustRightInd w:val="0"/>
              <w:ind w:left="0"/>
              <w:rPr>
                <w:rFonts w:ascii="TT Hoves Light" w:hAnsi="TT Hoves Light" w:cs="TimesNewRoman"/>
              </w:rPr>
            </w:pPr>
            <w:r>
              <w:rPr>
                <w:rFonts w:ascii="TT Hoves Light" w:hAnsi="TT Hoves Light" w:cs="TimesNewRoman"/>
              </w:rPr>
              <w:t xml:space="preserve">As a result of the engagement, </w:t>
            </w:r>
            <w:r w:rsidR="00CE2377">
              <w:rPr>
                <w:rFonts w:ascii="TT Hoves Light" w:hAnsi="TT Hoves Light" w:cs="TimesNewRoman"/>
              </w:rPr>
              <w:t xml:space="preserve">M&amp;G are confident the company is aware of its challenges and is working on the solutions, which could include the increased use of returnable glass bottles and recycling plastic. </w:t>
            </w:r>
            <w:r w:rsidR="000F2ED1">
              <w:rPr>
                <w:rFonts w:ascii="TT Hoves Light" w:hAnsi="TT Hoves Light" w:cs="TimesNewRoman"/>
              </w:rPr>
              <w:t>M&amp;G are awaiting the companies next ESG report to decide if further near-term engagement is necessary</w:t>
            </w:r>
            <w:r w:rsidR="005048FA">
              <w:rPr>
                <w:rFonts w:ascii="TT Hoves Light" w:hAnsi="TT Hoves Light" w:cs="TimesNewRoman"/>
              </w:rPr>
              <w:t xml:space="preserve"> </w:t>
            </w:r>
          </w:p>
        </w:tc>
      </w:tr>
      <w:tr w:rsidR="00EF587C" w:rsidRPr="00346B90" w14:paraId="053C973D" w14:textId="77777777" w:rsidTr="00434ED7">
        <w:trPr>
          <w:trHeight w:val="2622"/>
        </w:trPr>
        <w:tc>
          <w:tcPr>
            <w:tcW w:w="1059" w:type="dxa"/>
            <w:tcBorders>
              <w:top w:val="single" w:sz="4" w:space="0" w:color="44546A" w:themeColor="text2"/>
              <w:left w:val="nil"/>
              <w:bottom w:val="single" w:sz="4" w:space="0" w:color="44546A" w:themeColor="text2"/>
              <w:right w:val="nil"/>
            </w:tcBorders>
            <w:shd w:val="clear" w:color="auto" w:fill="BFEEE3"/>
            <w:vAlign w:val="center"/>
          </w:tcPr>
          <w:p w14:paraId="56EB7A8E" w14:textId="314B9917" w:rsidR="00EF587C" w:rsidRDefault="00EF587C" w:rsidP="00F81277">
            <w:pPr>
              <w:autoSpaceDE w:val="0"/>
              <w:autoSpaceDN w:val="0"/>
              <w:adjustRightInd w:val="0"/>
              <w:rPr>
                <w:rFonts w:ascii="TT Hoves Medium" w:hAnsi="TT Hoves Medium" w:cs="TimesNewRoman"/>
              </w:rPr>
            </w:pPr>
            <w:r>
              <w:rPr>
                <w:rFonts w:ascii="TT Hoves Medium" w:hAnsi="TT Hoves Medium" w:cs="TimesNewRoman"/>
              </w:rPr>
              <w:t>M&amp;G PP Episode Income Fund</w:t>
            </w:r>
          </w:p>
        </w:tc>
        <w:tc>
          <w:tcPr>
            <w:tcW w:w="2976" w:type="dxa"/>
            <w:tcBorders>
              <w:top w:val="single" w:sz="4" w:space="0" w:color="44546A" w:themeColor="text2"/>
              <w:left w:val="nil"/>
              <w:bottom w:val="single" w:sz="4" w:space="0" w:color="44546A" w:themeColor="text2"/>
              <w:right w:val="nil"/>
            </w:tcBorders>
            <w:vAlign w:val="center"/>
          </w:tcPr>
          <w:p w14:paraId="40FCDBBE" w14:textId="77777777" w:rsidR="00EF587C" w:rsidRDefault="00D952F6" w:rsidP="002A7BD0">
            <w:pPr>
              <w:rPr>
                <w:rFonts w:ascii="TT Hoves Light" w:hAnsi="TT Hoves Light" w:cs="TimesNewRoman"/>
                <w:color w:val="000000" w:themeColor="text1" w:themeShade="BF"/>
              </w:rPr>
            </w:pPr>
            <w:r>
              <w:rPr>
                <w:rFonts w:ascii="TT Hoves Light" w:hAnsi="TT Hoves Light" w:cs="TimesNewRoman"/>
                <w:color w:val="000000" w:themeColor="text1" w:themeShade="BF"/>
              </w:rPr>
              <w:t>Total engagements: 7</w:t>
            </w:r>
          </w:p>
          <w:p w14:paraId="35EC9D70" w14:textId="77777777" w:rsidR="00D952F6" w:rsidRDefault="00D952F6" w:rsidP="002A7BD0">
            <w:pPr>
              <w:rPr>
                <w:rFonts w:ascii="TT Hoves Light" w:hAnsi="TT Hoves Light" w:cs="TimesNewRoman"/>
                <w:color w:val="000000" w:themeColor="text1" w:themeShade="BF"/>
              </w:rPr>
            </w:pPr>
          </w:p>
          <w:p w14:paraId="674FD5CF" w14:textId="77777777" w:rsidR="00D952F6" w:rsidRDefault="00942A68" w:rsidP="002A7BD0">
            <w:pPr>
              <w:rPr>
                <w:rFonts w:ascii="TT Hoves Light" w:hAnsi="TT Hoves Light" w:cs="TimesNewRoman"/>
                <w:color w:val="000000" w:themeColor="text1" w:themeShade="BF"/>
              </w:rPr>
            </w:pPr>
            <w:r>
              <w:rPr>
                <w:rFonts w:ascii="TT Hoves Light" w:hAnsi="TT Hoves Light" w:cs="TimesNewRoman"/>
                <w:color w:val="000000" w:themeColor="text1" w:themeShade="BF"/>
              </w:rPr>
              <w:t>ESG-related: 7</w:t>
            </w:r>
          </w:p>
          <w:p w14:paraId="7B1AD6D9" w14:textId="77777777" w:rsidR="00942A68" w:rsidRDefault="00942A68" w:rsidP="002A7BD0">
            <w:pPr>
              <w:rPr>
                <w:rFonts w:ascii="TT Hoves Light" w:hAnsi="TT Hoves Light" w:cs="TimesNewRoman"/>
                <w:color w:val="000000" w:themeColor="text1" w:themeShade="BF"/>
              </w:rPr>
            </w:pPr>
          </w:p>
          <w:p w14:paraId="22C98FAD" w14:textId="161CAA73" w:rsidR="00942A68" w:rsidRDefault="00942A68" w:rsidP="002A7BD0">
            <w:pPr>
              <w:rPr>
                <w:rFonts w:ascii="TT Hoves Light" w:hAnsi="TT Hoves Light" w:cs="TimesNewRoman"/>
                <w:color w:val="000000" w:themeColor="text1" w:themeShade="BF"/>
              </w:rPr>
            </w:pPr>
            <w:r>
              <w:rPr>
                <w:rFonts w:ascii="TT Hoves Light" w:hAnsi="TT Hoves Light" w:cs="TimesNewRoman"/>
                <w:color w:val="000000" w:themeColor="text1" w:themeShade="BF"/>
              </w:rPr>
              <w:t>Other: 0</w:t>
            </w:r>
          </w:p>
        </w:tc>
        <w:tc>
          <w:tcPr>
            <w:tcW w:w="3969" w:type="dxa"/>
            <w:tcBorders>
              <w:top w:val="single" w:sz="4" w:space="0" w:color="44546A" w:themeColor="text2"/>
              <w:left w:val="nil"/>
              <w:bottom w:val="single" w:sz="4" w:space="0" w:color="44546A" w:themeColor="text2"/>
              <w:right w:val="nil"/>
            </w:tcBorders>
            <w:vAlign w:val="center"/>
          </w:tcPr>
          <w:p w14:paraId="175CA9BF" w14:textId="141C9C1B" w:rsidR="007958A7" w:rsidRPr="007958A7" w:rsidRDefault="007958A7" w:rsidP="006C615A">
            <w:pPr>
              <w:pStyle w:val="ListParagraph"/>
              <w:autoSpaceDE w:val="0"/>
              <w:autoSpaceDN w:val="0"/>
              <w:adjustRightInd w:val="0"/>
              <w:ind w:left="0"/>
              <w:rPr>
                <w:rFonts w:ascii="TT Hoves Light" w:hAnsi="TT Hoves Light" w:cs="TimesNewRoman"/>
              </w:rPr>
            </w:pPr>
            <w:r w:rsidRPr="007958A7">
              <w:rPr>
                <w:rFonts w:ascii="TT Hoves Light" w:hAnsi="TT Hoves Light" w:cs="TimesNewRoman"/>
              </w:rPr>
              <w:t>An example of a specific engagement:</w:t>
            </w:r>
          </w:p>
          <w:p w14:paraId="775A777B" w14:textId="77777777" w:rsidR="007958A7" w:rsidRDefault="007958A7" w:rsidP="006C615A">
            <w:pPr>
              <w:pStyle w:val="ListParagraph"/>
              <w:autoSpaceDE w:val="0"/>
              <w:autoSpaceDN w:val="0"/>
              <w:adjustRightInd w:val="0"/>
              <w:ind w:left="0"/>
              <w:rPr>
                <w:rFonts w:ascii="TT Hoves Medium" w:hAnsi="TT Hoves Medium" w:cs="TimesNewRoman"/>
              </w:rPr>
            </w:pPr>
          </w:p>
          <w:p w14:paraId="517644AF" w14:textId="58E8D5AF" w:rsidR="004B04FE" w:rsidRDefault="00D8046E" w:rsidP="006C615A">
            <w:pPr>
              <w:pStyle w:val="ListParagraph"/>
              <w:autoSpaceDE w:val="0"/>
              <w:autoSpaceDN w:val="0"/>
              <w:adjustRightInd w:val="0"/>
              <w:ind w:left="0"/>
              <w:rPr>
                <w:rFonts w:ascii="TT Hoves Light" w:hAnsi="TT Hoves Light" w:cs="TimesNewRoman"/>
              </w:rPr>
            </w:pPr>
            <w:r w:rsidRPr="007958A7">
              <w:rPr>
                <w:rFonts w:ascii="TT Hoves Medium" w:hAnsi="TT Hoves Medium" w:cs="TimesNewRoman"/>
              </w:rPr>
              <w:t>GlaxoSmithKline</w:t>
            </w:r>
            <w:r>
              <w:rPr>
                <w:rFonts w:ascii="TT Hoves Light" w:hAnsi="TT Hoves Light" w:cs="TimesNewRoman"/>
              </w:rPr>
              <w:t xml:space="preserve"> </w:t>
            </w:r>
            <w:r w:rsidR="008A26AA">
              <w:rPr>
                <w:rFonts w:ascii="TT Hoves Light" w:hAnsi="TT Hoves Light" w:cs="TimesNewRoman"/>
              </w:rPr>
              <w:t>–</w:t>
            </w:r>
            <w:r>
              <w:rPr>
                <w:rFonts w:ascii="TT Hoves Light" w:hAnsi="TT Hoves Light" w:cs="TimesNewRoman"/>
              </w:rPr>
              <w:t xml:space="preserve"> </w:t>
            </w:r>
            <w:r w:rsidR="008A26AA">
              <w:rPr>
                <w:rFonts w:ascii="TT Hoves Light" w:hAnsi="TT Hoves Light" w:cs="TimesNewRoman"/>
              </w:rPr>
              <w:t>M&amp;G h</w:t>
            </w:r>
            <w:r w:rsidR="009D1529">
              <w:rPr>
                <w:rFonts w:ascii="TT Hoves Light" w:hAnsi="TT Hoves Light" w:cs="TimesNewRoman"/>
              </w:rPr>
              <w:t xml:space="preserve">eld a dedicated engagement with senior individuals across the environment, </w:t>
            </w:r>
            <w:r w:rsidR="004B04FE">
              <w:rPr>
                <w:rFonts w:ascii="TT Hoves Light" w:hAnsi="TT Hoves Light" w:cs="TimesNewRoman"/>
              </w:rPr>
              <w:t>anti-</w:t>
            </w:r>
            <w:r w:rsidR="009D1529">
              <w:rPr>
                <w:rFonts w:ascii="TT Hoves Light" w:hAnsi="TT Hoves Light" w:cs="TimesNewRoman"/>
              </w:rPr>
              <w:t>microbial and supply chain teams.</w:t>
            </w:r>
            <w:r w:rsidR="004B04FE">
              <w:rPr>
                <w:rFonts w:ascii="TT Hoves Light" w:hAnsi="TT Hoves Light" w:cs="TimesNewRoman"/>
              </w:rPr>
              <w:t xml:space="preserve"> In particular, M&amp;G raised the issue of </w:t>
            </w:r>
            <w:r w:rsidR="001D4EED">
              <w:rPr>
                <w:rFonts w:ascii="TT Hoves Light" w:hAnsi="TT Hoves Light" w:cs="TimesNewRoman"/>
              </w:rPr>
              <w:t>board responsibility of meeting climate targets and technical expertise relating to climate change.</w:t>
            </w:r>
            <w:r w:rsidR="009A2940">
              <w:rPr>
                <w:rFonts w:ascii="TT Hoves Light" w:hAnsi="TT Hoves Light" w:cs="TimesNewRoman"/>
              </w:rPr>
              <w:t xml:space="preserve"> </w:t>
            </w:r>
          </w:p>
          <w:p w14:paraId="46EDE227" w14:textId="77777777" w:rsidR="009A2940" w:rsidRDefault="009A2940" w:rsidP="006C615A">
            <w:pPr>
              <w:pStyle w:val="ListParagraph"/>
              <w:autoSpaceDE w:val="0"/>
              <w:autoSpaceDN w:val="0"/>
              <w:adjustRightInd w:val="0"/>
              <w:ind w:left="0"/>
              <w:rPr>
                <w:rFonts w:ascii="TT Hoves Light" w:hAnsi="TT Hoves Light" w:cs="TimesNewRoman"/>
              </w:rPr>
            </w:pPr>
          </w:p>
          <w:p w14:paraId="29999D84" w14:textId="702C5BE6" w:rsidR="009A2940" w:rsidRDefault="009A2940" w:rsidP="006C615A">
            <w:pPr>
              <w:pStyle w:val="ListParagraph"/>
              <w:autoSpaceDE w:val="0"/>
              <w:autoSpaceDN w:val="0"/>
              <w:adjustRightInd w:val="0"/>
              <w:ind w:left="0"/>
              <w:rPr>
                <w:rFonts w:ascii="TT Hoves Light" w:hAnsi="TT Hoves Light" w:cs="TimesNewRoman"/>
              </w:rPr>
            </w:pPr>
            <w:r>
              <w:rPr>
                <w:rFonts w:ascii="TT Hoves Light" w:hAnsi="TT Hoves Light" w:cs="TimesNewRoman"/>
              </w:rPr>
              <w:t xml:space="preserve">The board now aims to focus increasingly on environmental issues, the company does not yet have any climate-related targets linked to </w:t>
            </w:r>
            <w:r w:rsidR="00F101C3">
              <w:rPr>
                <w:rFonts w:ascii="TT Hoves Light" w:hAnsi="TT Hoves Light" w:cs="TimesNewRoman"/>
              </w:rPr>
              <w:t>incentivisation but</w:t>
            </w:r>
            <w:r w:rsidR="00D87433">
              <w:rPr>
                <w:rFonts w:ascii="TT Hoves Light" w:hAnsi="TT Hoves Light" w:cs="TimesNewRoman"/>
              </w:rPr>
              <w:t xml:space="preserve"> this</w:t>
            </w:r>
            <w:r>
              <w:rPr>
                <w:rFonts w:ascii="TT Hoves Light" w:hAnsi="TT Hoves Light" w:cs="TimesNewRoman"/>
              </w:rPr>
              <w:t xml:space="preserve"> has flagged this to the re</w:t>
            </w:r>
            <w:r w:rsidR="00271BCA">
              <w:rPr>
                <w:rFonts w:ascii="TT Hoves Light" w:hAnsi="TT Hoves Light" w:cs="TimesNewRoman"/>
              </w:rPr>
              <w:t xml:space="preserve">muneration committee. </w:t>
            </w:r>
          </w:p>
        </w:tc>
      </w:tr>
      <w:tr w:rsidR="00434ED7" w:rsidRPr="00346B90" w14:paraId="3993C39F" w14:textId="77777777" w:rsidTr="001C077C">
        <w:trPr>
          <w:trHeight w:val="2622"/>
        </w:trPr>
        <w:tc>
          <w:tcPr>
            <w:tcW w:w="1059" w:type="dxa"/>
            <w:tcBorders>
              <w:top w:val="single" w:sz="4" w:space="0" w:color="44546A" w:themeColor="text2"/>
              <w:left w:val="nil"/>
              <w:bottom w:val="single" w:sz="4" w:space="0" w:color="44546A" w:themeColor="text2"/>
              <w:right w:val="nil"/>
            </w:tcBorders>
            <w:shd w:val="clear" w:color="auto" w:fill="BFEEE3"/>
            <w:vAlign w:val="center"/>
          </w:tcPr>
          <w:p w14:paraId="57DE087D" w14:textId="107BFB1C" w:rsidR="00434ED7" w:rsidRDefault="007A7C02" w:rsidP="00F81277">
            <w:pPr>
              <w:autoSpaceDE w:val="0"/>
              <w:autoSpaceDN w:val="0"/>
              <w:adjustRightInd w:val="0"/>
              <w:rPr>
                <w:rFonts w:ascii="TT Hoves Medium" w:hAnsi="TT Hoves Medium" w:cs="TimesNewRoman"/>
              </w:rPr>
            </w:pPr>
            <w:r>
              <w:rPr>
                <w:rFonts w:ascii="TT Hoves Medium" w:hAnsi="TT Hoves Medium" w:cs="TimesNewRoman"/>
              </w:rPr>
              <w:lastRenderedPageBreak/>
              <w:t>BMO Equity-linked Real DLDI</w:t>
            </w:r>
          </w:p>
        </w:tc>
        <w:tc>
          <w:tcPr>
            <w:tcW w:w="2976" w:type="dxa"/>
            <w:tcBorders>
              <w:top w:val="single" w:sz="4" w:space="0" w:color="44546A" w:themeColor="text2"/>
              <w:left w:val="nil"/>
              <w:bottom w:val="single" w:sz="4" w:space="0" w:color="44546A" w:themeColor="text2"/>
              <w:right w:val="nil"/>
            </w:tcBorders>
            <w:vAlign w:val="center"/>
          </w:tcPr>
          <w:p w14:paraId="77F1D46B" w14:textId="77777777" w:rsidR="00434ED7" w:rsidRDefault="007A7C02" w:rsidP="002A7BD0">
            <w:pPr>
              <w:rPr>
                <w:rFonts w:ascii="TT Hoves Light" w:hAnsi="TT Hoves Light" w:cs="TimesNewRoman"/>
                <w:color w:val="000000" w:themeColor="text1" w:themeShade="BF"/>
              </w:rPr>
            </w:pPr>
            <w:r>
              <w:rPr>
                <w:rFonts w:ascii="TT Hoves Light" w:hAnsi="TT Hoves Light" w:cs="TimesNewRoman"/>
                <w:color w:val="000000" w:themeColor="text1" w:themeShade="BF"/>
              </w:rPr>
              <w:t xml:space="preserve">Total engagements: </w:t>
            </w:r>
            <w:r w:rsidR="00C80FA4">
              <w:rPr>
                <w:rFonts w:ascii="TT Hoves Light" w:hAnsi="TT Hoves Light" w:cs="TimesNewRoman"/>
                <w:color w:val="000000" w:themeColor="text1" w:themeShade="BF"/>
              </w:rPr>
              <w:t>13</w:t>
            </w:r>
          </w:p>
          <w:p w14:paraId="24F3779F" w14:textId="77777777" w:rsidR="00C80FA4" w:rsidRDefault="00C80FA4" w:rsidP="002A7BD0">
            <w:pPr>
              <w:rPr>
                <w:rFonts w:ascii="TT Hoves Light" w:hAnsi="TT Hoves Light" w:cs="TimesNewRoman"/>
                <w:color w:val="000000" w:themeColor="text1" w:themeShade="BF"/>
              </w:rPr>
            </w:pPr>
          </w:p>
          <w:p w14:paraId="4008634B" w14:textId="77777777" w:rsidR="00C80FA4" w:rsidRDefault="00C80FA4" w:rsidP="002A7BD0">
            <w:pPr>
              <w:rPr>
                <w:rFonts w:ascii="TT Hoves Light" w:hAnsi="TT Hoves Light" w:cs="TimesNewRoman"/>
                <w:color w:val="000000" w:themeColor="text1" w:themeShade="BF"/>
              </w:rPr>
            </w:pPr>
            <w:r>
              <w:rPr>
                <w:rFonts w:ascii="TT Hoves Light" w:hAnsi="TT Hoves Light" w:cs="TimesNewRoman"/>
                <w:color w:val="000000" w:themeColor="text1" w:themeShade="BF"/>
              </w:rPr>
              <w:t xml:space="preserve">ESG-related: </w:t>
            </w:r>
            <w:r w:rsidR="00B0287C">
              <w:rPr>
                <w:rFonts w:ascii="TT Hoves Light" w:hAnsi="TT Hoves Light" w:cs="TimesNewRoman"/>
                <w:color w:val="000000" w:themeColor="text1" w:themeShade="BF"/>
              </w:rPr>
              <w:t>13</w:t>
            </w:r>
          </w:p>
          <w:p w14:paraId="5CE9BC83" w14:textId="77777777" w:rsidR="00B0287C" w:rsidRDefault="00B0287C" w:rsidP="002A7BD0">
            <w:pPr>
              <w:rPr>
                <w:rFonts w:ascii="TT Hoves Light" w:hAnsi="TT Hoves Light" w:cs="TimesNewRoman"/>
                <w:color w:val="000000" w:themeColor="text1" w:themeShade="BF"/>
              </w:rPr>
            </w:pPr>
          </w:p>
          <w:p w14:paraId="7BF87C46" w14:textId="2ACDBA53" w:rsidR="00B0287C" w:rsidRDefault="00B0287C" w:rsidP="002A7BD0">
            <w:pPr>
              <w:rPr>
                <w:rFonts w:ascii="TT Hoves Light" w:hAnsi="TT Hoves Light" w:cs="TimesNewRoman"/>
                <w:color w:val="000000" w:themeColor="text1" w:themeShade="BF"/>
              </w:rPr>
            </w:pPr>
            <w:r>
              <w:rPr>
                <w:rFonts w:ascii="TT Hoves Light" w:hAnsi="TT Hoves Light" w:cs="TimesNewRoman"/>
                <w:color w:val="000000" w:themeColor="text1" w:themeShade="BF"/>
              </w:rPr>
              <w:t>Other: 0</w:t>
            </w:r>
          </w:p>
        </w:tc>
        <w:tc>
          <w:tcPr>
            <w:tcW w:w="3969" w:type="dxa"/>
            <w:tcBorders>
              <w:top w:val="single" w:sz="4" w:space="0" w:color="44546A" w:themeColor="text2"/>
              <w:left w:val="nil"/>
              <w:bottom w:val="single" w:sz="4" w:space="0" w:color="44546A" w:themeColor="text2"/>
              <w:right w:val="nil"/>
            </w:tcBorders>
            <w:vAlign w:val="center"/>
          </w:tcPr>
          <w:p w14:paraId="0A6CD3DF" w14:textId="77777777" w:rsidR="00EA2AD2" w:rsidRDefault="0069110C" w:rsidP="006C615A">
            <w:pPr>
              <w:pStyle w:val="ListParagraph"/>
              <w:autoSpaceDE w:val="0"/>
              <w:autoSpaceDN w:val="0"/>
              <w:adjustRightInd w:val="0"/>
              <w:ind w:left="0"/>
              <w:rPr>
                <w:rFonts w:ascii="TT Hoves Light" w:hAnsi="TT Hoves Light" w:cs="TimesNewRoman"/>
              </w:rPr>
            </w:pPr>
            <w:r>
              <w:rPr>
                <w:rFonts w:ascii="TT Hoves Light" w:hAnsi="TT Hoves Light" w:cs="TimesNewRoman"/>
              </w:rPr>
              <w:t xml:space="preserve">BMO engage through the LDI portfolio </w:t>
            </w:r>
            <w:r w:rsidR="006547BF">
              <w:rPr>
                <w:rFonts w:ascii="TT Hoves Light" w:hAnsi="TT Hoves Light" w:cs="TimesNewRoman"/>
              </w:rPr>
              <w:t xml:space="preserve">by focussing on trading counterparties and clearing members. </w:t>
            </w:r>
          </w:p>
          <w:p w14:paraId="49701F59" w14:textId="77777777" w:rsidR="00EA2AD2" w:rsidRDefault="00EA2AD2" w:rsidP="006C615A">
            <w:pPr>
              <w:pStyle w:val="ListParagraph"/>
              <w:autoSpaceDE w:val="0"/>
              <w:autoSpaceDN w:val="0"/>
              <w:adjustRightInd w:val="0"/>
              <w:ind w:left="0"/>
              <w:rPr>
                <w:rFonts w:ascii="TT Hoves Light" w:hAnsi="TT Hoves Light" w:cs="TimesNewRoman"/>
              </w:rPr>
            </w:pPr>
          </w:p>
          <w:p w14:paraId="06C4739B" w14:textId="3344A2B8" w:rsidR="00BA4E4A" w:rsidRPr="007958A7" w:rsidRDefault="00BA4E4A" w:rsidP="006C615A">
            <w:pPr>
              <w:pStyle w:val="ListParagraph"/>
              <w:autoSpaceDE w:val="0"/>
              <w:autoSpaceDN w:val="0"/>
              <w:adjustRightInd w:val="0"/>
              <w:ind w:left="0"/>
              <w:rPr>
                <w:rFonts w:ascii="TT Hoves Light" w:hAnsi="TT Hoves Light" w:cs="TimesNewRoman"/>
              </w:rPr>
            </w:pPr>
            <w:r>
              <w:rPr>
                <w:rFonts w:ascii="TT Hoves Light" w:hAnsi="TT Hoves Light" w:cs="TimesNewRoman"/>
              </w:rPr>
              <w:t>BMO structures their engagement work in terms of prioritisation</w:t>
            </w:r>
            <w:r w:rsidR="00B54732">
              <w:rPr>
                <w:rFonts w:ascii="TT Hoves Light" w:hAnsi="TT Hoves Light" w:cs="TimesNewRoman"/>
              </w:rPr>
              <w:t xml:space="preserve">, (i.e. </w:t>
            </w:r>
            <w:r w:rsidR="00B54732" w:rsidRPr="00B54732">
              <w:rPr>
                <w:rFonts w:ascii="TT Hoves Light" w:hAnsi="TT Hoves Light" w:cs="TimesNewRoman"/>
              </w:rPr>
              <w:t xml:space="preserve">in terms of companies to whom </w:t>
            </w:r>
            <w:r w:rsidR="00B54732">
              <w:rPr>
                <w:rFonts w:ascii="TT Hoves Light" w:hAnsi="TT Hoves Light" w:cs="TimesNewRoman"/>
              </w:rPr>
              <w:t xml:space="preserve">BMO </w:t>
            </w:r>
            <w:r w:rsidR="00B54732" w:rsidRPr="00B54732">
              <w:rPr>
                <w:rFonts w:ascii="TT Hoves Light" w:hAnsi="TT Hoves Light" w:cs="TimesNewRoman"/>
              </w:rPr>
              <w:t xml:space="preserve"> have the greatest exposure and to companies whom </w:t>
            </w:r>
            <w:r w:rsidR="00B54732">
              <w:rPr>
                <w:rFonts w:ascii="TT Hoves Light" w:hAnsi="TT Hoves Light" w:cs="TimesNewRoman"/>
              </w:rPr>
              <w:t>they consider to</w:t>
            </w:r>
            <w:r w:rsidR="00B54732" w:rsidRPr="00B54732">
              <w:rPr>
                <w:rFonts w:ascii="TT Hoves Light" w:hAnsi="TT Hoves Light" w:cs="TimesNewRoman"/>
              </w:rPr>
              <w:t xml:space="preserve"> have the greatest ESG deficiencies</w:t>
            </w:r>
            <w:r w:rsidR="00B54732">
              <w:rPr>
                <w:rFonts w:ascii="TT Hoves Light" w:hAnsi="TT Hoves Light" w:cs="TimesNewRoman"/>
              </w:rPr>
              <w:t xml:space="preserve">) </w:t>
            </w:r>
            <w:r>
              <w:rPr>
                <w:rFonts w:ascii="TT Hoves Light" w:hAnsi="TT Hoves Light" w:cs="TimesNewRoman"/>
              </w:rPr>
              <w:t>and in terms of progress monitoring against predefined milestones.</w:t>
            </w:r>
          </w:p>
        </w:tc>
      </w:tr>
      <w:tr w:rsidR="00A91E19" w:rsidRPr="00346B90" w14:paraId="508E5208" w14:textId="77777777" w:rsidTr="001C077C">
        <w:trPr>
          <w:trHeight w:val="2622"/>
        </w:trPr>
        <w:tc>
          <w:tcPr>
            <w:tcW w:w="1059" w:type="dxa"/>
            <w:tcBorders>
              <w:top w:val="single" w:sz="4" w:space="0" w:color="44546A" w:themeColor="text2"/>
              <w:left w:val="nil"/>
              <w:bottom w:val="single" w:sz="4" w:space="0" w:color="FFFFFF" w:themeColor="background1"/>
              <w:right w:val="nil"/>
            </w:tcBorders>
            <w:shd w:val="clear" w:color="auto" w:fill="BFEEE3"/>
            <w:vAlign w:val="center"/>
          </w:tcPr>
          <w:p w14:paraId="06575090" w14:textId="4697BA33" w:rsidR="00A91E19" w:rsidRDefault="001D6D66" w:rsidP="00F81277">
            <w:pPr>
              <w:autoSpaceDE w:val="0"/>
              <w:autoSpaceDN w:val="0"/>
              <w:adjustRightInd w:val="0"/>
              <w:rPr>
                <w:rFonts w:ascii="TT Hoves Medium" w:hAnsi="TT Hoves Medium" w:cs="TimesNewRoman"/>
              </w:rPr>
            </w:pPr>
            <w:r>
              <w:rPr>
                <w:rFonts w:ascii="TT Hoves Medium" w:hAnsi="TT Hoves Medium" w:cs="TimesNewRoman"/>
              </w:rPr>
              <w:t>L&amp;G Dynamic Diversified Fund</w:t>
            </w:r>
          </w:p>
        </w:tc>
        <w:tc>
          <w:tcPr>
            <w:tcW w:w="2976" w:type="dxa"/>
            <w:tcBorders>
              <w:top w:val="single" w:sz="4" w:space="0" w:color="44546A" w:themeColor="text2"/>
              <w:left w:val="nil"/>
              <w:bottom w:val="single" w:sz="4" w:space="0" w:color="44546A" w:themeColor="text2"/>
              <w:right w:val="nil"/>
            </w:tcBorders>
            <w:vAlign w:val="center"/>
          </w:tcPr>
          <w:p w14:paraId="5EBA4E7F" w14:textId="0FCE31FE" w:rsidR="00A91E19" w:rsidRDefault="001D6D66" w:rsidP="002A7BD0">
            <w:pPr>
              <w:rPr>
                <w:rFonts w:ascii="TT Hoves Light" w:hAnsi="TT Hoves Light" w:cs="TimesNewRoman"/>
                <w:color w:val="000000" w:themeColor="text1" w:themeShade="BF"/>
              </w:rPr>
            </w:pPr>
            <w:r>
              <w:rPr>
                <w:rFonts w:ascii="TT Hoves Light" w:hAnsi="TT Hoves Light" w:cs="TimesNewRoman"/>
                <w:color w:val="000000" w:themeColor="text1" w:themeShade="BF"/>
              </w:rPr>
              <w:t>Total engagements: N/A</w:t>
            </w:r>
          </w:p>
        </w:tc>
        <w:tc>
          <w:tcPr>
            <w:tcW w:w="3969" w:type="dxa"/>
            <w:tcBorders>
              <w:top w:val="single" w:sz="4" w:space="0" w:color="44546A" w:themeColor="text2"/>
              <w:left w:val="nil"/>
              <w:bottom w:val="single" w:sz="4" w:space="0" w:color="auto"/>
              <w:right w:val="nil"/>
            </w:tcBorders>
            <w:vAlign w:val="center"/>
          </w:tcPr>
          <w:p w14:paraId="2C624218" w14:textId="47620A41" w:rsidR="00A91E19" w:rsidRDefault="001D6D66" w:rsidP="006C615A">
            <w:pPr>
              <w:pStyle w:val="ListParagraph"/>
              <w:autoSpaceDE w:val="0"/>
              <w:autoSpaceDN w:val="0"/>
              <w:adjustRightInd w:val="0"/>
              <w:ind w:left="0"/>
              <w:rPr>
                <w:rFonts w:ascii="TT Hoves Light" w:hAnsi="TT Hoves Light" w:cs="TimesNewRoman"/>
              </w:rPr>
            </w:pPr>
            <w:r>
              <w:rPr>
                <w:rFonts w:ascii="TT Hoves Light" w:hAnsi="TT Hoves Light" w:cs="TimesNewRoman"/>
              </w:rPr>
              <w:t xml:space="preserve">L&amp;G were unable to provide engagement data </w:t>
            </w:r>
            <w:r w:rsidR="00887BE2">
              <w:rPr>
                <w:rFonts w:ascii="TT Hoves Light" w:hAnsi="TT Hoves Light" w:cs="TimesNewRoman"/>
              </w:rPr>
              <w:t>at fund level.</w:t>
            </w:r>
          </w:p>
        </w:tc>
      </w:tr>
    </w:tbl>
    <w:p w14:paraId="21734FFF" w14:textId="319976D1" w:rsidR="00E75593" w:rsidRDefault="00E75593" w:rsidP="002156F1">
      <w:pPr>
        <w:rPr>
          <w:rFonts w:ascii="TT Hoves Medium" w:hAnsi="TT Hoves Medium" w:cs="Arial"/>
          <w:color w:val="000000"/>
          <w:sz w:val="20"/>
          <w:szCs w:val="20"/>
        </w:rPr>
      </w:pPr>
    </w:p>
    <w:p w14:paraId="676FF814" w14:textId="15309C94" w:rsidR="007567F6" w:rsidRDefault="007567F6" w:rsidP="002156F1">
      <w:pPr>
        <w:rPr>
          <w:rFonts w:ascii="TT Hoves Medium" w:hAnsi="TT Hoves Medium" w:cs="Arial"/>
          <w:color w:val="000000"/>
          <w:sz w:val="20"/>
          <w:szCs w:val="20"/>
        </w:rPr>
      </w:pPr>
    </w:p>
    <w:p w14:paraId="04F398A2" w14:textId="46FB64CB" w:rsidR="0037629F" w:rsidRDefault="0037629F">
      <w:pPr>
        <w:spacing w:after="160" w:line="259" w:lineRule="auto"/>
        <w:rPr>
          <w:rFonts w:ascii="TT Hoves Medium" w:hAnsi="TT Hoves Medium" w:cs="Arial"/>
          <w:color w:val="000000"/>
          <w:sz w:val="20"/>
          <w:szCs w:val="20"/>
        </w:rPr>
      </w:pPr>
      <w:r>
        <w:rPr>
          <w:rFonts w:ascii="TT Hoves Medium" w:hAnsi="TT Hoves Medium" w:cs="Arial"/>
          <w:color w:val="000000"/>
          <w:sz w:val="20"/>
          <w:szCs w:val="20"/>
        </w:rPr>
        <w:br w:type="page"/>
      </w:r>
    </w:p>
    <w:p w14:paraId="2760820C" w14:textId="1DA2F993" w:rsidR="004E2C78" w:rsidRDefault="004E2C78" w:rsidP="002156F1">
      <w:pPr>
        <w:rPr>
          <w:rFonts w:ascii="TT Hoves Light" w:hAnsi="TT Hoves Light" w:cs="Arial"/>
          <w:color w:val="000000"/>
          <w:sz w:val="20"/>
          <w:szCs w:val="20"/>
          <w:u w:val="single"/>
        </w:rPr>
      </w:pPr>
      <w:r w:rsidRPr="004E2C78">
        <w:rPr>
          <w:rFonts w:ascii="TT Hoves Light" w:hAnsi="TT Hoves Light" w:cs="Arial"/>
          <w:color w:val="000000"/>
          <w:sz w:val="20"/>
          <w:szCs w:val="20"/>
          <w:u w:val="single"/>
        </w:rPr>
        <w:lastRenderedPageBreak/>
        <w:t>Voting</w:t>
      </w:r>
    </w:p>
    <w:p w14:paraId="1554D4B9" w14:textId="727181D7" w:rsidR="004E2C78" w:rsidRDefault="004E2C78" w:rsidP="002156F1">
      <w:pPr>
        <w:rPr>
          <w:rFonts w:ascii="TT Hoves Light" w:hAnsi="TT Hoves Light" w:cs="Arial"/>
          <w:color w:val="000000"/>
          <w:sz w:val="20"/>
          <w:szCs w:val="20"/>
          <w:u w:val="single"/>
        </w:rPr>
      </w:pPr>
    </w:p>
    <w:p w14:paraId="078EFDA2" w14:textId="4CD6C0CB" w:rsidR="004E2C78" w:rsidRPr="00987D8A" w:rsidRDefault="00862437" w:rsidP="002156F1">
      <w:pPr>
        <w:rPr>
          <w:rFonts w:ascii="TT Hoves Light" w:hAnsi="TT Hoves Light" w:cs="Arial"/>
          <w:color w:val="000000"/>
          <w:sz w:val="20"/>
          <w:szCs w:val="20"/>
        </w:rPr>
      </w:pPr>
      <w:r>
        <w:rPr>
          <w:rFonts w:ascii="TT Hoves Light" w:hAnsi="TT Hoves Light" w:cs="Arial"/>
          <w:color w:val="000000"/>
          <w:sz w:val="20"/>
          <w:szCs w:val="20"/>
        </w:rPr>
        <w:t xml:space="preserve">The Scheme has </w:t>
      </w:r>
      <w:r w:rsidR="00137FCB" w:rsidRPr="00987D8A">
        <w:rPr>
          <w:rFonts w:ascii="TT Hoves Light" w:hAnsi="TT Hoves Light" w:cs="Arial"/>
          <w:color w:val="000000"/>
          <w:sz w:val="20"/>
          <w:szCs w:val="20"/>
        </w:rPr>
        <w:t xml:space="preserve">provided details on </w:t>
      </w:r>
      <w:r w:rsidR="00731C24">
        <w:rPr>
          <w:rFonts w:ascii="TT Hoves Light" w:hAnsi="TT Hoves Light" w:cs="Arial"/>
          <w:color w:val="000000"/>
          <w:sz w:val="20"/>
          <w:szCs w:val="20"/>
        </w:rPr>
        <w:t>its</w:t>
      </w:r>
      <w:r w:rsidR="00731C24" w:rsidRPr="00987D8A">
        <w:rPr>
          <w:rFonts w:ascii="TT Hoves Light" w:hAnsi="TT Hoves Light" w:cs="Arial"/>
          <w:color w:val="000000"/>
          <w:sz w:val="20"/>
          <w:szCs w:val="20"/>
        </w:rPr>
        <w:t xml:space="preserve"> </w:t>
      </w:r>
      <w:r>
        <w:rPr>
          <w:rFonts w:ascii="TT Hoves Light" w:hAnsi="TT Hoves Light" w:cs="Arial"/>
          <w:color w:val="000000"/>
          <w:sz w:val="20"/>
          <w:szCs w:val="20"/>
        </w:rPr>
        <w:t xml:space="preserve">investments </w:t>
      </w:r>
      <w:r w:rsidR="00137FCB" w:rsidRPr="00987D8A">
        <w:rPr>
          <w:rFonts w:ascii="TT Hoves Light" w:hAnsi="TT Hoves Light" w:cs="Arial"/>
          <w:color w:val="000000"/>
          <w:sz w:val="20"/>
          <w:szCs w:val="20"/>
        </w:rPr>
        <w:t xml:space="preserve">voting actions including a summary of the activity covering the reporting year up to </w:t>
      </w:r>
      <w:r w:rsidR="00EC5DE4" w:rsidRPr="00987D8A">
        <w:rPr>
          <w:rFonts w:ascii="TT Hoves Light" w:hAnsi="TT Hoves Light" w:cs="Arial"/>
          <w:color w:val="000000"/>
          <w:sz w:val="20"/>
          <w:szCs w:val="20"/>
        </w:rPr>
        <w:t>31 December 2020</w:t>
      </w:r>
      <w:r w:rsidR="00137FCB" w:rsidRPr="00987D8A">
        <w:rPr>
          <w:rFonts w:ascii="TT Hoves Light" w:hAnsi="TT Hoves Light" w:cs="Arial"/>
          <w:color w:val="000000"/>
          <w:sz w:val="20"/>
          <w:szCs w:val="20"/>
        </w:rPr>
        <w:t>. The manager also provided examples of any significant votes.</w:t>
      </w:r>
      <w:r w:rsidR="003739BB" w:rsidRPr="00987D8A">
        <w:rPr>
          <w:rFonts w:ascii="TT Hoves Light" w:hAnsi="TT Hoves Light" w:cs="Arial"/>
          <w:color w:val="000000"/>
          <w:sz w:val="20"/>
          <w:szCs w:val="20"/>
        </w:rPr>
        <w:t xml:space="preserve"> </w:t>
      </w:r>
    </w:p>
    <w:p w14:paraId="207DD087" w14:textId="47F77B43" w:rsidR="00A75812" w:rsidRDefault="00A75812" w:rsidP="002156F1">
      <w:pPr>
        <w:rPr>
          <w:rFonts w:ascii="TT Hoves Light" w:hAnsi="TT Hoves Light" w:cs="Arial"/>
          <w:color w:val="000000"/>
          <w:sz w:val="20"/>
          <w:szCs w:val="20"/>
        </w:rPr>
      </w:pPr>
    </w:p>
    <w:p w14:paraId="53DCA312" w14:textId="60D7736F" w:rsidR="00827415" w:rsidRDefault="001F30CD" w:rsidP="00827415">
      <w:pPr>
        <w:rPr>
          <w:rFonts w:ascii="TT Hoves Light" w:hAnsi="TT Hoves Light" w:cs="Arial"/>
          <w:color w:val="000000"/>
          <w:sz w:val="20"/>
          <w:szCs w:val="20"/>
        </w:rPr>
      </w:pPr>
      <w:r>
        <w:rPr>
          <w:rFonts w:ascii="TT Hoves Light" w:hAnsi="TT Hoves Light" w:cs="Arial"/>
          <w:color w:val="000000"/>
          <w:sz w:val="20"/>
          <w:szCs w:val="20"/>
        </w:rPr>
        <w:t>As voting is not applicable to Gilts-based funds</w:t>
      </w:r>
      <w:r w:rsidR="00862437">
        <w:rPr>
          <w:rFonts w:ascii="TT Hoves Light" w:hAnsi="TT Hoves Light" w:cs="Arial"/>
          <w:color w:val="000000"/>
          <w:sz w:val="20"/>
          <w:szCs w:val="20"/>
        </w:rPr>
        <w:t xml:space="preserve"> or LDI funds</w:t>
      </w:r>
      <w:r w:rsidR="00827415">
        <w:rPr>
          <w:rFonts w:ascii="TT Hoves Light" w:hAnsi="TT Hoves Light" w:cs="Arial"/>
          <w:color w:val="000000"/>
          <w:sz w:val="20"/>
          <w:szCs w:val="20"/>
        </w:rPr>
        <w:t>, M&amp;G</w:t>
      </w:r>
      <w:r w:rsidR="00862437">
        <w:rPr>
          <w:rFonts w:ascii="TT Hoves Light" w:hAnsi="TT Hoves Light" w:cs="Arial"/>
          <w:color w:val="000000"/>
          <w:sz w:val="20"/>
          <w:szCs w:val="20"/>
        </w:rPr>
        <w:t xml:space="preserve"> and BMO</w:t>
      </w:r>
      <w:r w:rsidR="00827415">
        <w:rPr>
          <w:rFonts w:ascii="TT Hoves Light" w:hAnsi="TT Hoves Light" w:cs="Arial"/>
          <w:color w:val="000000"/>
          <w:sz w:val="20"/>
          <w:szCs w:val="20"/>
        </w:rPr>
        <w:t xml:space="preserve"> have not provided voting information</w:t>
      </w:r>
      <w:r w:rsidR="00731C24">
        <w:rPr>
          <w:rFonts w:ascii="TT Hoves Light" w:hAnsi="TT Hoves Light" w:cs="Arial"/>
          <w:color w:val="000000"/>
          <w:sz w:val="20"/>
          <w:szCs w:val="20"/>
        </w:rPr>
        <w:t xml:space="preserve"> in respect of those funds</w:t>
      </w:r>
      <w:r w:rsidR="00D256C7">
        <w:rPr>
          <w:rFonts w:ascii="TT Hoves Light" w:hAnsi="TT Hoves Light" w:cs="Arial"/>
          <w:color w:val="000000"/>
          <w:sz w:val="20"/>
          <w:szCs w:val="20"/>
        </w:rPr>
        <w:t>.</w:t>
      </w:r>
    </w:p>
    <w:p w14:paraId="7C408FE1" w14:textId="77777777" w:rsidR="00827415" w:rsidRDefault="00827415" w:rsidP="002156F1">
      <w:pPr>
        <w:rPr>
          <w:rFonts w:ascii="TT Hoves Light" w:hAnsi="TT Hoves Light" w:cs="Arial"/>
          <w:color w:val="000000"/>
          <w:sz w:val="20"/>
          <w:szCs w:val="20"/>
        </w:rPr>
      </w:pPr>
    </w:p>
    <w:tbl>
      <w:tblPr>
        <w:tblStyle w:val="IsioDarkHeader"/>
        <w:tblW w:w="0" w:type="auto"/>
        <w:tblLook w:val="04A0" w:firstRow="1" w:lastRow="0" w:firstColumn="1" w:lastColumn="0" w:noHBand="0" w:noVBand="1"/>
      </w:tblPr>
      <w:tblGrid>
        <w:gridCol w:w="1366"/>
        <w:gridCol w:w="2036"/>
        <w:gridCol w:w="2609"/>
        <w:gridCol w:w="3015"/>
      </w:tblGrid>
      <w:tr w:rsidR="004D5DC7" w:rsidRPr="00F972CE" w14:paraId="6CEC4B5D" w14:textId="77777777" w:rsidTr="00535C66">
        <w:trPr>
          <w:cnfStyle w:val="100000000000" w:firstRow="1" w:lastRow="0" w:firstColumn="0" w:lastColumn="0" w:oddVBand="0" w:evenVBand="0" w:oddHBand="0" w:evenHBand="0" w:firstRowFirstColumn="0" w:firstRowLastColumn="0" w:lastRowFirstColumn="0" w:lastRowLastColumn="0"/>
          <w:trHeight w:val="588"/>
        </w:trPr>
        <w:tc>
          <w:tcPr>
            <w:tcW w:w="1366" w:type="dxa"/>
            <w:shd w:val="clear" w:color="auto" w:fill="00BA8D"/>
            <w:vAlign w:val="center"/>
            <w:hideMark/>
          </w:tcPr>
          <w:p w14:paraId="34777BF0" w14:textId="77777777" w:rsidR="00764F44" w:rsidRPr="00F972CE" w:rsidRDefault="00764F44" w:rsidP="00764F44">
            <w:pPr>
              <w:autoSpaceDE w:val="0"/>
              <w:autoSpaceDN w:val="0"/>
              <w:adjustRightInd w:val="0"/>
              <w:rPr>
                <w:rFonts w:ascii="TT Hoves Medium" w:hAnsi="TT Hoves Medium" w:cs="TimesNewRoman"/>
              </w:rPr>
            </w:pPr>
            <w:r w:rsidRPr="00F972CE">
              <w:rPr>
                <w:rFonts w:ascii="TT Hoves Medium" w:hAnsi="TT Hoves Medium" w:cs="TimesNewRoman"/>
              </w:rPr>
              <w:t>Fund name</w:t>
            </w:r>
          </w:p>
        </w:tc>
        <w:tc>
          <w:tcPr>
            <w:tcW w:w="2036" w:type="dxa"/>
            <w:shd w:val="clear" w:color="auto" w:fill="00BA8D"/>
            <w:vAlign w:val="center"/>
            <w:hideMark/>
          </w:tcPr>
          <w:p w14:paraId="66DA766F" w14:textId="0457DFB5" w:rsidR="00764F44" w:rsidRPr="00F972CE" w:rsidRDefault="00764F44" w:rsidP="00764F44">
            <w:pPr>
              <w:autoSpaceDE w:val="0"/>
              <w:autoSpaceDN w:val="0"/>
              <w:adjustRightInd w:val="0"/>
              <w:rPr>
                <w:rFonts w:ascii="TT Hoves Medium" w:hAnsi="TT Hoves Medium" w:cs="TimesNewRoman"/>
              </w:rPr>
            </w:pPr>
            <w:r>
              <w:rPr>
                <w:rFonts w:ascii="TT Hoves Medium" w:hAnsi="TT Hoves Medium" w:cs="TimesNewRoman"/>
              </w:rPr>
              <w:t>Voting summary</w:t>
            </w:r>
          </w:p>
        </w:tc>
        <w:tc>
          <w:tcPr>
            <w:tcW w:w="2609" w:type="dxa"/>
            <w:shd w:val="clear" w:color="auto" w:fill="00BA8D"/>
            <w:vAlign w:val="center"/>
          </w:tcPr>
          <w:p w14:paraId="0B0683D5" w14:textId="4D3379A5" w:rsidR="00764F44" w:rsidRPr="00F972CE" w:rsidRDefault="00764F44" w:rsidP="00764F44">
            <w:pPr>
              <w:autoSpaceDE w:val="0"/>
              <w:autoSpaceDN w:val="0"/>
              <w:adjustRightInd w:val="0"/>
              <w:rPr>
                <w:rFonts w:ascii="TT Hoves Medium" w:hAnsi="TT Hoves Medium" w:cs="TimesNewRoman"/>
              </w:rPr>
            </w:pPr>
            <w:r>
              <w:rPr>
                <w:rFonts w:ascii="TT Hoves Medium" w:hAnsi="TT Hoves Medium" w:cs="TimesNewRoman"/>
              </w:rPr>
              <w:t>Examples of significant votes</w:t>
            </w:r>
          </w:p>
        </w:tc>
        <w:tc>
          <w:tcPr>
            <w:tcW w:w="3015" w:type="dxa"/>
            <w:tcBorders>
              <w:bottom w:val="single" w:sz="4" w:space="0" w:color="44546A" w:themeColor="text2"/>
            </w:tcBorders>
            <w:shd w:val="clear" w:color="auto" w:fill="00BA8D"/>
            <w:vAlign w:val="center"/>
            <w:hideMark/>
          </w:tcPr>
          <w:p w14:paraId="65FE6EC4" w14:textId="7E3D26CD" w:rsidR="00764F44" w:rsidRPr="00F972CE" w:rsidRDefault="00764F44" w:rsidP="00764F44">
            <w:pPr>
              <w:autoSpaceDE w:val="0"/>
              <w:autoSpaceDN w:val="0"/>
              <w:adjustRightInd w:val="0"/>
              <w:rPr>
                <w:rFonts w:ascii="TT Hoves Medium" w:hAnsi="TT Hoves Medium" w:cs="TimesNewRoman"/>
              </w:rPr>
            </w:pPr>
            <w:r w:rsidRPr="00F972CE">
              <w:rPr>
                <w:rFonts w:ascii="TT Hoves Medium" w:hAnsi="TT Hoves Medium" w:cs="TimesNewRoman"/>
              </w:rPr>
              <w:t>Commentary</w:t>
            </w:r>
          </w:p>
        </w:tc>
      </w:tr>
      <w:tr w:rsidR="0095199E" w:rsidRPr="00346B90" w14:paraId="2C5E2833" w14:textId="77777777" w:rsidTr="00535C66">
        <w:trPr>
          <w:trHeight w:val="2517"/>
        </w:trPr>
        <w:tc>
          <w:tcPr>
            <w:tcW w:w="1366" w:type="dxa"/>
            <w:tcBorders>
              <w:top w:val="single" w:sz="4" w:space="0" w:color="44546A" w:themeColor="text2"/>
              <w:left w:val="nil"/>
              <w:bottom w:val="single" w:sz="4" w:space="0" w:color="44546A" w:themeColor="text2"/>
              <w:right w:val="nil"/>
            </w:tcBorders>
            <w:shd w:val="clear" w:color="auto" w:fill="BFEEE3"/>
            <w:vAlign w:val="center"/>
          </w:tcPr>
          <w:p w14:paraId="56424FF0" w14:textId="3338FA9B" w:rsidR="0095199E" w:rsidRPr="00F81277" w:rsidRDefault="0095199E" w:rsidP="00B43AAF">
            <w:pPr>
              <w:autoSpaceDE w:val="0"/>
              <w:autoSpaceDN w:val="0"/>
              <w:adjustRightInd w:val="0"/>
              <w:rPr>
                <w:rFonts w:ascii="TT Hoves Medium" w:hAnsi="TT Hoves Medium" w:cs="TimesNewRoman"/>
              </w:rPr>
            </w:pPr>
            <w:r>
              <w:rPr>
                <w:rFonts w:ascii="TT Hoves Medium" w:hAnsi="TT Hoves Medium" w:cs="TimesNewRoman"/>
              </w:rPr>
              <w:t>M&amp;G Long Dated Corporate Bond Fund</w:t>
            </w:r>
          </w:p>
        </w:tc>
        <w:tc>
          <w:tcPr>
            <w:tcW w:w="2036" w:type="dxa"/>
            <w:tcBorders>
              <w:top w:val="single" w:sz="4" w:space="0" w:color="44546A" w:themeColor="text2"/>
              <w:left w:val="nil"/>
              <w:bottom w:val="single" w:sz="4" w:space="0" w:color="44546A" w:themeColor="text2"/>
              <w:right w:val="nil"/>
            </w:tcBorders>
            <w:vAlign w:val="center"/>
          </w:tcPr>
          <w:p w14:paraId="670D7752" w14:textId="77777777" w:rsidR="0095199E" w:rsidRDefault="0095199E" w:rsidP="00B43AAF">
            <w:pPr>
              <w:rPr>
                <w:rFonts w:ascii="TT Hoves Light" w:hAnsi="TT Hoves Light" w:cs="TimesNewRoman"/>
                <w:color w:val="000000" w:themeColor="text1" w:themeShade="BF"/>
              </w:rPr>
            </w:pPr>
            <w:r>
              <w:rPr>
                <w:rFonts w:ascii="TT Hoves Light" w:hAnsi="TT Hoves Light" w:cs="TimesNewRoman"/>
                <w:color w:val="000000" w:themeColor="text1" w:themeShade="BF"/>
              </w:rPr>
              <w:t>Votes cast: 9</w:t>
            </w:r>
          </w:p>
          <w:p w14:paraId="55BD3765" w14:textId="77777777" w:rsidR="0095199E" w:rsidRDefault="0095199E" w:rsidP="00B43AAF">
            <w:pPr>
              <w:rPr>
                <w:rFonts w:ascii="TT Hoves Light" w:hAnsi="TT Hoves Light" w:cs="TimesNewRoman"/>
                <w:color w:val="000000" w:themeColor="text1" w:themeShade="BF"/>
              </w:rPr>
            </w:pPr>
          </w:p>
          <w:p w14:paraId="1DD967F9" w14:textId="62120A7F" w:rsidR="0095199E" w:rsidRPr="00701EAF" w:rsidRDefault="0095199E" w:rsidP="00A452FB">
            <w:pPr>
              <w:rPr>
                <w:rFonts w:ascii="TT Hoves Light" w:hAnsi="TT Hoves Light" w:cs="TimesNewRoman"/>
                <w:color w:val="000000" w:themeColor="text1" w:themeShade="BF"/>
              </w:rPr>
            </w:pPr>
            <w:r w:rsidRPr="00D92E61">
              <w:rPr>
                <w:rFonts w:ascii="TT Hoves Light" w:hAnsi="TT Hoves Light" w:cs="TimesNewRoman"/>
                <w:color w:val="000000" w:themeColor="text1" w:themeShade="BF"/>
              </w:rPr>
              <w:t xml:space="preserve">Votes </w:t>
            </w:r>
            <w:r>
              <w:rPr>
                <w:rFonts w:ascii="TT Hoves Light" w:hAnsi="TT Hoves Light" w:cs="TimesNewRoman"/>
                <w:color w:val="000000" w:themeColor="text1" w:themeShade="BF"/>
              </w:rPr>
              <w:t>in favour of proposed action</w:t>
            </w:r>
            <w:r w:rsidRPr="00701EAF">
              <w:rPr>
                <w:rFonts w:ascii="TT Hoves Light" w:hAnsi="TT Hoves Light" w:cs="TimesNewRoman"/>
                <w:color w:val="000000" w:themeColor="text1" w:themeShade="BF"/>
              </w:rPr>
              <w:t xml:space="preserve">: </w:t>
            </w:r>
            <w:r>
              <w:rPr>
                <w:rFonts w:ascii="TT Hoves Light" w:hAnsi="TT Hoves Light" w:cs="TimesNewRoman"/>
                <w:color w:val="000000" w:themeColor="text1" w:themeShade="BF"/>
              </w:rPr>
              <w:t>9</w:t>
            </w:r>
          </w:p>
          <w:p w14:paraId="38766D6F" w14:textId="77777777" w:rsidR="0095199E" w:rsidRPr="00701EAF" w:rsidRDefault="0095199E" w:rsidP="00A452FB">
            <w:pPr>
              <w:rPr>
                <w:rFonts w:ascii="TT Hoves Light" w:hAnsi="TT Hoves Light" w:cs="TimesNewRoman"/>
                <w:color w:val="000000" w:themeColor="text1" w:themeShade="BF"/>
              </w:rPr>
            </w:pPr>
          </w:p>
          <w:p w14:paraId="32511B15" w14:textId="78F53CC6" w:rsidR="0095199E" w:rsidRDefault="0095199E" w:rsidP="00A452FB">
            <w:pPr>
              <w:rPr>
                <w:rFonts w:ascii="TT Hoves Light" w:hAnsi="TT Hoves Light" w:cs="TimesNewRoman"/>
                <w:color w:val="000000" w:themeColor="text1" w:themeShade="BF"/>
              </w:rPr>
            </w:pPr>
            <w:r w:rsidRPr="00B92BB1">
              <w:rPr>
                <w:rFonts w:ascii="TT Hoves Light" w:hAnsi="TT Hoves Light" w:cs="TimesNewRoman"/>
                <w:color w:val="000000" w:themeColor="text1" w:themeShade="BF"/>
              </w:rPr>
              <w:t xml:space="preserve">Votes </w:t>
            </w:r>
            <w:r>
              <w:rPr>
                <w:rFonts w:ascii="TT Hoves Light" w:hAnsi="TT Hoves Light" w:cs="TimesNewRoman"/>
                <w:color w:val="000000" w:themeColor="text1" w:themeShade="BF"/>
              </w:rPr>
              <w:t>not in favour of proposed action</w:t>
            </w:r>
            <w:r w:rsidRPr="00D92E61">
              <w:rPr>
                <w:rFonts w:ascii="TT Hoves Light" w:hAnsi="TT Hoves Light" w:cs="TimesNewRoman"/>
                <w:color w:val="000000" w:themeColor="text1" w:themeShade="BF"/>
              </w:rPr>
              <w:t xml:space="preserve">: </w:t>
            </w:r>
            <w:r>
              <w:rPr>
                <w:rFonts w:ascii="TT Hoves Light" w:hAnsi="TT Hoves Light" w:cs="TimesNewRoman"/>
                <w:color w:val="000000" w:themeColor="text1" w:themeShade="BF"/>
              </w:rPr>
              <w:t>0</w:t>
            </w:r>
          </w:p>
          <w:p w14:paraId="6C88D3B6" w14:textId="77777777" w:rsidR="0095199E" w:rsidRDefault="0095199E" w:rsidP="00A452FB">
            <w:pPr>
              <w:rPr>
                <w:rFonts w:ascii="TT Hoves Light" w:hAnsi="TT Hoves Light" w:cs="TimesNewRoman"/>
                <w:color w:val="000000" w:themeColor="text1" w:themeShade="BF"/>
              </w:rPr>
            </w:pPr>
          </w:p>
          <w:p w14:paraId="490195EF" w14:textId="1768B3E5" w:rsidR="0095199E" w:rsidRPr="00D92E61" w:rsidRDefault="0095199E" w:rsidP="00A452FB">
            <w:pPr>
              <w:rPr>
                <w:rFonts w:ascii="TT Hoves Light" w:hAnsi="TT Hoves Light" w:cs="TimesNewRoman"/>
                <w:color w:val="000000" w:themeColor="text1" w:themeShade="BF"/>
              </w:rPr>
            </w:pPr>
            <w:r>
              <w:rPr>
                <w:rFonts w:ascii="TT Hoves Light" w:hAnsi="TT Hoves Light" w:cs="TimesNewRoman"/>
                <w:color w:val="000000" w:themeColor="text1" w:themeShade="BF"/>
              </w:rPr>
              <w:t>Votes ‘abstained’: 0</w:t>
            </w:r>
          </w:p>
        </w:tc>
        <w:tc>
          <w:tcPr>
            <w:tcW w:w="2609" w:type="dxa"/>
            <w:tcBorders>
              <w:top w:val="single" w:sz="4" w:space="0" w:color="44546A" w:themeColor="text2"/>
              <w:left w:val="nil"/>
              <w:bottom w:val="single" w:sz="4" w:space="0" w:color="44546A" w:themeColor="text2"/>
              <w:right w:val="nil"/>
            </w:tcBorders>
            <w:vAlign w:val="center"/>
          </w:tcPr>
          <w:p w14:paraId="5CE1D34E" w14:textId="2AC02E97" w:rsidR="0095199E" w:rsidRPr="00141730" w:rsidRDefault="0095199E" w:rsidP="00B43AAF">
            <w:pPr>
              <w:pStyle w:val="ListParagraph"/>
              <w:autoSpaceDE w:val="0"/>
              <w:autoSpaceDN w:val="0"/>
              <w:adjustRightInd w:val="0"/>
              <w:ind w:left="0"/>
              <w:rPr>
                <w:rFonts w:ascii="TT Hoves Light" w:hAnsi="TT Hoves Light" w:cs="TimesNewRoman"/>
              </w:rPr>
            </w:pPr>
            <w:r w:rsidRPr="00141730">
              <w:rPr>
                <w:rFonts w:ascii="TT Hoves Medium" w:hAnsi="TT Hoves Medium" w:cs="TimesNewRoman"/>
              </w:rPr>
              <w:t>Manchester Airport Group Funding PLC</w:t>
            </w:r>
            <w:r w:rsidRPr="00141730">
              <w:rPr>
                <w:rFonts w:ascii="TT Hoves Light" w:hAnsi="TT Hoves Light" w:cs="TimesNewRoman"/>
              </w:rPr>
              <w:t xml:space="preserve"> – M&amp;G consented to a vote relating to a waiver request due to the impact of COVID-19.</w:t>
            </w:r>
          </w:p>
        </w:tc>
        <w:tc>
          <w:tcPr>
            <w:tcW w:w="3015" w:type="dxa"/>
            <w:vMerge w:val="restart"/>
            <w:tcBorders>
              <w:top w:val="single" w:sz="4" w:space="0" w:color="44546A" w:themeColor="text2"/>
              <w:left w:val="nil"/>
              <w:right w:val="nil"/>
            </w:tcBorders>
            <w:vAlign w:val="center"/>
          </w:tcPr>
          <w:p w14:paraId="7255EBB7" w14:textId="77777777" w:rsidR="0095199E" w:rsidRDefault="0095199E" w:rsidP="00A44768">
            <w:pPr>
              <w:pStyle w:val="ListParagraph"/>
              <w:autoSpaceDE w:val="0"/>
              <w:autoSpaceDN w:val="0"/>
              <w:adjustRightInd w:val="0"/>
              <w:ind w:left="0"/>
              <w:rPr>
                <w:rFonts w:ascii="TT Hoves Light" w:hAnsi="TT Hoves Light" w:cs="TimesNewRoman"/>
              </w:rPr>
            </w:pPr>
            <w:r>
              <w:rPr>
                <w:rFonts w:ascii="TT Hoves Light" w:hAnsi="TT Hoves Light" w:cs="TimesNewRoman"/>
              </w:rPr>
              <w:t>M&amp;G did not provide any additional commentary.</w:t>
            </w:r>
          </w:p>
          <w:p w14:paraId="5E743D3D" w14:textId="77777777" w:rsidR="0095199E" w:rsidRDefault="0095199E" w:rsidP="00B43AAF">
            <w:pPr>
              <w:pStyle w:val="ListParagraph"/>
              <w:autoSpaceDE w:val="0"/>
              <w:autoSpaceDN w:val="0"/>
              <w:adjustRightInd w:val="0"/>
              <w:ind w:left="0"/>
              <w:rPr>
                <w:rFonts w:ascii="TT Hoves Light" w:hAnsi="TT Hoves Light" w:cs="TimesNewRoman"/>
              </w:rPr>
            </w:pPr>
          </w:p>
        </w:tc>
      </w:tr>
      <w:tr w:rsidR="0095199E" w:rsidRPr="00346B90" w14:paraId="42291DE2" w14:textId="77777777" w:rsidTr="00535C66">
        <w:trPr>
          <w:trHeight w:val="2517"/>
        </w:trPr>
        <w:tc>
          <w:tcPr>
            <w:tcW w:w="1366" w:type="dxa"/>
            <w:tcBorders>
              <w:top w:val="single" w:sz="4" w:space="0" w:color="44546A" w:themeColor="text2"/>
              <w:left w:val="nil"/>
              <w:bottom w:val="single" w:sz="4" w:space="0" w:color="44546A" w:themeColor="text2"/>
              <w:right w:val="nil"/>
            </w:tcBorders>
            <w:shd w:val="clear" w:color="auto" w:fill="BFEEE3"/>
            <w:vAlign w:val="center"/>
          </w:tcPr>
          <w:p w14:paraId="26A26BE0" w14:textId="73AE1937" w:rsidR="0095199E" w:rsidRDefault="0095199E" w:rsidP="00B43AAF">
            <w:pPr>
              <w:autoSpaceDE w:val="0"/>
              <w:autoSpaceDN w:val="0"/>
              <w:adjustRightInd w:val="0"/>
              <w:rPr>
                <w:rFonts w:ascii="TT Hoves Medium" w:hAnsi="TT Hoves Medium" w:cs="TimesNewRoman"/>
              </w:rPr>
            </w:pPr>
            <w:r>
              <w:rPr>
                <w:rFonts w:ascii="TT Hoves Medium" w:hAnsi="TT Hoves Medium" w:cs="TimesNewRoman"/>
              </w:rPr>
              <w:t>M&amp;G PP Episode Income Fund</w:t>
            </w:r>
          </w:p>
        </w:tc>
        <w:tc>
          <w:tcPr>
            <w:tcW w:w="2036" w:type="dxa"/>
            <w:tcBorders>
              <w:top w:val="single" w:sz="4" w:space="0" w:color="44546A" w:themeColor="text2"/>
              <w:left w:val="nil"/>
              <w:bottom w:val="single" w:sz="4" w:space="0" w:color="44546A" w:themeColor="text2"/>
              <w:right w:val="nil"/>
            </w:tcBorders>
            <w:vAlign w:val="center"/>
          </w:tcPr>
          <w:p w14:paraId="3882A295" w14:textId="7A53B94F" w:rsidR="0095199E" w:rsidRDefault="0095199E" w:rsidP="00BB7216">
            <w:pPr>
              <w:rPr>
                <w:rFonts w:ascii="TT Hoves Light" w:hAnsi="TT Hoves Light" w:cs="TimesNewRoman"/>
                <w:color w:val="000000" w:themeColor="text1" w:themeShade="BF"/>
              </w:rPr>
            </w:pPr>
            <w:r>
              <w:rPr>
                <w:rFonts w:ascii="TT Hoves Light" w:hAnsi="TT Hoves Light" w:cs="TimesNewRoman"/>
                <w:color w:val="000000" w:themeColor="text1" w:themeShade="BF"/>
              </w:rPr>
              <w:t>Votes cast: 1</w:t>
            </w:r>
            <w:r w:rsidR="00E411B0">
              <w:rPr>
                <w:rFonts w:ascii="TT Hoves Light" w:hAnsi="TT Hoves Light" w:cs="TimesNewRoman"/>
                <w:color w:val="000000" w:themeColor="text1" w:themeShade="BF"/>
              </w:rPr>
              <w:t>,</w:t>
            </w:r>
            <w:r>
              <w:rPr>
                <w:rFonts w:ascii="TT Hoves Light" w:hAnsi="TT Hoves Light" w:cs="TimesNewRoman"/>
                <w:color w:val="000000" w:themeColor="text1" w:themeShade="BF"/>
              </w:rPr>
              <w:t>278</w:t>
            </w:r>
          </w:p>
          <w:p w14:paraId="06A40068" w14:textId="77777777" w:rsidR="0095199E" w:rsidRDefault="0095199E" w:rsidP="00BB7216">
            <w:pPr>
              <w:rPr>
                <w:rFonts w:ascii="TT Hoves Light" w:hAnsi="TT Hoves Light" w:cs="TimesNewRoman"/>
                <w:color w:val="000000" w:themeColor="text1" w:themeShade="BF"/>
              </w:rPr>
            </w:pPr>
          </w:p>
          <w:p w14:paraId="5CB04AD4" w14:textId="00A5F925" w:rsidR="0095199E" w:rsidRPr="00701EAF" w:rsidRDefault="0095199E" w:rsidP="00BB7216">
            <w:pPr>
              <w:rPr>
                <w:rFonts w:ascii="TT Hoves Light" w:hAnsi="TT Hoves Light" w:cs="TimesNewRoman"/>
                <w:color w:val="000000" w:themeColor="text1" w:themeShade="BF"/>
              </w:rPr>
            </w:pPr>
            <w:r w:rsidRPr="00D92E61">
              <w:rPr>
                <w:rFonts w:ascii="TT Hoves Light" w:hAnsi="TT Hoves Light" w:cs="TimesNewRoman"/>
                <w:color w:val="000000" w:themeColor="text1" w:themeShade="BF"/>
              </w:rPr>
              <w:t xml:space="preserve">Votes </w:t>
            </w:r>
            <w:r>
              <w:rPr>
                <w:rFonts w:ascii="TT Hoves Light" w:hAnsi="TT Hoves Light" w:cs="TimesNewRoman"/>
                <w:color w:val="000000" w:themeColor="text1" w:themeShade="BF"/>
              </w:rPr>
              <w:t>in favour of proposed action</w:t>
            </w:r>
            <w:r w:rsidRPr="00701EAF">
              <w:rPr>
                <w:rFonts w:ascii="TT Hoves Light" w:hAnsi="TT Hoves Light" w:cs="TimesNewRoman"/>
                <w:color w:val="000000" w:themeColor="text1" w:themeShade="BF"/>
              </w:rPr>
              <w:t xml:space="preserve">: </w:t>
            </w:r>
            <w:r>
              <w:rPr>
                <w:rFonts w:ascii="TT Hoves Light" w:hAnsi="TT Hoves Light" w:cs="TimesNewRoman"/>
                <w:color w:val="000000" w:themeColor="text1" w:themeShade="BF"/>
              </w:rPr>
              <w:t>1</w:t>
            </w:r>
            <w:r w:rsidR="00E411B0">
              <w:rPr>
                <w:rFonts w:ascii="TT Hoves Light" w:hAnsi="TT Hoves Light" w:cs="TimesNewRoman"/>
                <w:color w:val="000000" w:themeColor="text1" w:themeShade="BF"/>
              </w:rPr>
              <w:t>,</w:t>
            </w:r>
            <w:r>
              <w:rPr>
                <w:rFonts w:ascii="TT Hoves Light" w:hAnsi="TT Hoves Light" w:cs="TimesNewRoman"/>
                <w:color w:val="000000" w:themeColor="text1" w:themeShade="BF"/>
              </w:rPr>
              <w:t>180</w:t>
            </w:r>
          </w:p>
          <w:p w14:paraId="723397EE" w14:textId="77777777" w:rsidR="0095199E" w:rsidRPr="00701EAF" w:rsidRDefault="0095199E" w:rsidP="00BB7216">
            <w:pPr>
              <w:rPr>
                <w:rFonts w:ascii="TT Hoves Light" w:hAnsi="TT Hoves Light" w:cs="TimesNewRoman"/>
                <w:color w:val="000000" w:themeColor="text1" w:themeShade="BF"/>
              </w:rPr>
            </w:pPr>
          </w:p>
          <w:p w14:paraId="40587B66" w14:textId="6FCD1E3D" w:rsidR="0095199E" w:rsidRDefault="0095199E" w:rsidP="00BB7216">
            <w:pPr>
              <w:rPr>
                <w:rFonts w:ascii="TT Hoves Light" w:hAnsi="TT Hoves Light" w:cs="TimesNewRoman"/>
                <w:color w:val="000000" w:themeColor="text1" w:themeShade="BF"/>
              </w:rPr>
            </w:pPr>
            <w:r w:rsidRPr="00B92BB1">
              <w:rPr>
                <w:rFonts w:ascii="TT Hoves Light" w:hAnsi="TT Hoves Light" w:cs="TimesNewRoman"/>
                <w:color w:val="000000" w:themeColor="text1" w:themeShade="BF"/>
              </w:rPr>
              <w:t xml:space="preserve">Votes </w:t>
            </w:r>
            <w:r>
              <w:rPr>
                <w:rFonts w:ascii="TT Hoves Light" w:hAnsi="TT Hoves Light" w:cs="TimesNewRoman"/>
                <w:color w:val="000000" w:themeColor="text1" w:themeShade="BF"/>
              </w:rPr>
              <w:t>not in favour of proposed action</w:t>
            </w:r>
            <w:r w:rsidRPr="00D92E61">
              <w:rPr>
                <w:rFonts w:ascii="TT Hoves Light" w:hAnsi="TT Hoves Light" w:cs="TimesNewRoman"/>
                <w:color w:val="000000" w:themeColor="text1" w:themeShade="BF"/>
              </w:rPr>
              <w:t xml:space="preserve">: </w:t>
            </w:r>
            <w:r>
              <w:rPr>
                <w:rFonts w:ascii="TT Hoves Light" w:hAnsi="TT Hoves Light" w:cs="TimesNewRoman"/>
                <w:color w:val="000000" w:themeColor="text1" w:themeShade="BF"/>
              </w:rPr>
              <w:t>86</w:t>
            </w:r>
          </w:p>
          <w:p w14:paraId="1D82CE4D" w14:textId="77777777" w:rsidR="0095199E" w:rsidRDefault="0095199E" w:rsidP="00BB7216">
            <w:pPr>
              <w:rPr>
                <w:rFonts w:ascii="TT Hoves Light" w:hAnsi="TT Hoves Light" w:cs="TimesNewRoman"/>
                <w:color w:val="000000" w:themeColor="text1" w:themeShade="BF"/>
              </w:rPr>
            </w:pPr>
          </w:p>
          <w:p w14:paraId="40114100" w14:textId="5A4C9E22" w:rsidR="0095199E" w:rsidRDefault="0095199E" w:rsidP="00BB7216">
            <w:pPr>
              <w:rPr>
                <w:rFonts w:ascii="TT Hoves Light" w:hAnsi="TT Hoves Light" w:cs="TimesNewRoman"/>
                <w:color w:val="000000" w:themeColor="text1" w:themeShade="BF"/>
              </w:rPr>
            </w:pPr>
            <w:r>
              <w:rPr>
                <w:rFonts w:ascii="TT Hoves Light" w:hAnsi="TT Hoves Light" w:cs="TimesNewRoman"/>
                <w:color w:val="000000" w:themeColor="text1" w:themeShade="BF"/>
              </w:rPr>
              <w:t>Votes ‘abstained’: 12</w:t>
            </w:r>
          </w:p>
        </w:tc>
        <w:tc>
          <w:tcPr>
            <w:tcW w:w="2609" w:type="dxa"/>
            <w:tcBorders>
              <w:top w:val="single" w:sz="4" w:space="0" w:color="44546A" w:themeColor="text2"/>
              <w:left w:val="nil"/>
              <w:bottom w:val="single" w:sz="4" w:space="0" w:color="44546A" w:themeColor="text2"/>
              <w:right w:val="nil"/>
            </w:tcBorders>
            <w:vAlign w:val="center"/>
          </w:tcPr>
          <w:p w14:paraId="70F7618F" w14:textId="4900008C" w:rsidR="0095199E" w:rsidRPr="00141730" w:rsidRDefault="0095199E" w:rsidP="00B43AAF">
            <w:pPr>
              <w:pStyle w:val="ListParagraph"/>
              <w:autoSpaceDE w:val="0"/>
              <w:autoSpaceDN w:val="0"/>
              <w:adjustRightInd w:val="0"/>
              <w:ind w:left="0"/>
              <w:rPr>
                <w:rFonts w:ascii="TT Hoves Medium" w:hAnsi="TT Hoves Medium" w:cs="TimesNewRoman"/>
              </w:rPr>
            </w:pPr>
            <w:r>
              <w:rPr>
                <w:rFonts w:ascii="TT Hoves Medium" w:hAnsi="TT Hoves Medium" w:cs="TimesNewRoman"/>
              </w:rPr>
              <w:t xml:space="preserve">HSBC </w:t>
            </w:r>
            <w:r w:rsidRPr="00C076B9">
              <w:rPr>
                <w:rFonts w:ascii="TT Hoves Light" w:hAnsi="TT Hoves Light" w:cs="TimesNewRoman"/>
              </w:rPr>
              <w:t xml:space="preserve">– </w:t>
            </w:r>
            <w:r w:rsidRPr="0095199E">
              <w:rPr>
                <w:rFonts w:ascii="TT Hoves Light" w:hAnsi="TT Hoves Light" w:cs="TimesNewRoman"/>
              </w:rPr>
              <w:t>M&amp;G voted against the approval of a remuneration report after concerns of excessive remuneration after a dividend cut and the difficult market conditions.</w:t>
            </w:r>
          </w:p>
        </w:tc>
        <w:tc>
          <w:tcPr>
            <w:tcW w:w="3015" w:type="dxa"/>
            <w:vMerge/>
            <w:tcBorders>
              <w:left w:val="nil"/>
              <w:bottom w:val="single" w:sz="4" w:space="0" w:color="44546A" w:themeColor="text2"/>
              <w:right w:val="nil"/>
            </w:tcBorders>
            <w:vAlign w:val="center"/>
          </w:tcPr>
          <w:p w14:paraId="5D668C81" w14:textId="77777777" w:rsidR="0095199E" w:rsidRDefault="0095199E" w:rsidP="00A44768">
            <w:pPr>
              <w:pStyle w:val="ListParagraph"/>
              <w:autoSpaceDE w:val="0"/>
              <w:autoSpaceDN w:val="0"/>
              <w:adjustRightInd w:val="0"/>
              <w:ind w:left="0"/>
              <w:rPr>
                <w:rFonts w:ascii="TT Hoves Light" w:hAnsi="TT Hoves Light" w:cs="TimesNewRoman"/>
              </w:rPr>
            </w:pPr>
          </w:p>
        </w:tc>
      </w:tr>
      <w:tr w:rsidR="00F1755C" w:rsidRPr="00346B90" w14:paraId="2F0F8360" w14:textId="77777777" w:rsidTr="00535C66">
        <w:trPr>
          <w:trHeight w:val="2517"/>
        </w:trPr>
        <w:tc>
          <w:tcPr>
            <w:tcW w:w="1366" w:type="dxa"/>
            <w:tcBorders>
              <w:top w:val="single" w:sz="4" w:space="0" w:color="44546A" w:themeColor="text2"/>
              <w:left w:val="nil"/>
              <w:bottom w:val="single" w:sz="4" w:space="0" w:color="44546A" w:themeColor="text2"/>
              <w:right w:val="nil"/>
            </w:tcBorders>
            <w:shd w:val="clear" w:color="auto" w:fill="BFEEE3"/>
            <w:vAlign w:val="center"/>
          </w:tcPr>
          <w:p w14:paraId="186140CA" w14:textId="0E82FA7C" w:rsidR="00F1755C" w:rsidRDefault="00F55C67" w:rsidP="00B43AAF">
            <w:pPr>
              <w:autoSpaceDE w:val="0"/>
              <w:autoSpaceDN w:val="0"/>
              <w:adjustRightInd w:val="0"/>
              <w:rPr>
                <w:rFonts w:ascii="TT Hoves Medium" w:hAnsi="TT Hoves Medium" w:cs="TimesNewRoman"/>
              </w:rPr>
            </w:pPr>
            <w:r>
              <w:rPr>
                <w:rFonts w:ascii="TT Hoves Medium" w:hAnsi="TT Hoves Medium" w:cs="TimesNewRoman"/>
              </w:rPr>
              <w:t>L&amp;G Dynamic Diversified Fund</w:t>
            </w:r>
          </w:p>
        </w:tc>
        <w:tc>
          <w:tcPr>
            <w:tcW w:w="2036" w:type="dxa"/>
            <w:tcBorders>
              <w:top w:val="single" w:sz="4" w:space="0" w:color="44546A" w:themeColor="text2"/>
              <w:left w:val="nil"/>
              <w:bottom w:val="single" w:sz="4" w:space="0" w:color="44546A" w:themeColor="text2"/>
              <w:right w:val="nil"/>
            </w:tcBorders>
            <w:vAlign w:val="center"/>
          </w:tcPr>
          <w:p w14:paraId="18F442A7" w14:textId="5446C2CD" w:rsidR="00F55C67" w:rsidRDefault="00F55C67" w:rsidP="00F55C67">
            <w:pPr>
              <w:rPr>
                <w:rFonts w:ascii="TT Hoves Light" w:hAnsi="TT Hoves Light" w:cs="TimesNewRoman"/>
                <w:color w:val="000000" w:themeColor="text1" w:themeShade="BF"/>
              </w:rPr>
            </w:pPr>
            <w:r>
              <w:rPr>
                <w:rFonts w:ascii="TT Hoves Light" w:hAnsi="TT Hoves Light" w:cs="TimesNewRoman"/>
                <w:color w:val="000000" w:themeColor="text1" w:themeShade="BF"/>
              </w:rPr>
              <w:t xml:space="preserve">Votes cast: </w:t>
            </w:r>
            <w:r w:rsidR="00902EF5">
              <w:rPr>
                <w:rFonts w:ascii="TT Hoves Light" w:hAnsi="TT Hoves Light" w:cs="TimesNewRoman"/>
                <w:color w:val="000000" w:themeColor="text1" w:themeShade="BF"/>
              </w:rPr>
              <w:t>80</w:t>
            </w:r>
            <w:r w:rsidR="001A0514">
              <w:rPr>
                <w:rFonts w:ascii="TT Hoves Light" w:hAnsi="TT Hoves Light" w:cs="TimesNewRoman"/>
                <w:color w:val="000000" w:themeColor="text1" w:themeShade="BF"/>
              </w:rPr>
              <w:t>,</w:t>
            </w:r>
            <w:r w:rsidR="00902EF5">
              <w:rPr>
                <w:rFonts w:ascii="TT Hoves Light" w:hAnsi="TT Hoves Light" w:cs="TimesNewRoman"/>
                <w:color w:val="000000" w:themeColor="text1" w:themeShade="BF"/>
              </w:rPr>
              <w:t>9</w:t>
            </w:r>
            <w:r w:rsidR="001A0514">
              <w:rPr>
                <w:rFonts w:ascii="TT Hoves Light" w:hAnsi="TT Hoves Light" w:cs="TimesNewRoman"/>
                <w:color w:val="000000" w:themeColor="text1" w:themeShade="BF"/>
              </w:rPr>
              <w:t>79</w:t>
            </w:r>
          </w:p>
          <w:p w14:paraId="6DADBACF" w14:textId="77777777" w:rsidR="00F55C67" w:rsidRDefault="00F55C67" w:rsidP="00F55C67">
            <w:pPr>
              <w:rPr>
                <w:rFonts w:ascii="TT Hoves Light" w:hAnsi="TT Hoves Light" w:cs="TimesNewRoman"/>
                <w:color w:val="000000" w:themeColor="text1" w:themeShade="BF"/>
              </w:rPr>
            </w:pPr>
          </w:p>
          <w:p w14:paraId="3CE4959B" w14:textId="0CA03FB9" w:rsidR="00F55C67" w:rsidRPr="00701EAF" w:rsidRDefault="00F55C67" w:rsidP="00F55C67">
            <w:pPr>
              <w:rPr>
                <w:rFonts w:ascii="TT Hoves Light" w:hAnsi="TT Hoves Light" w:cs="TimesNewRoman"/>
                <w:color w:val="000000" w:themeColor="text1" w:themeShade="BF"/>
              </w:rPr>
            </w:pPr>
            <w:r w:rsidRPr="00D92E61">
              <w:rPr>
                <w:rFonts w:ascii="TT Hoves Light" w:hAnsi="TT Hoves Light" w:cs="TimesNewRoman"/>
                <w:color w:val="000000" w:themeColor="text1" w:themeShade="BF"/>
              </w:rPr>
              <w:t xml:space="preserve">Votes </w:t>
            </w:r>
            <w:r>
              <w:rPr>
                <w:rFonts w:ascii="TT Hoves Light" w:hAnsi="TT Hoves Light" w:cs="TimesNewRoman"/>
                <w:color w:val="000000" w:themeColor="text1" w:themeShade="BF"/>
              </w:rPr>
              <w:t>in favour of proposed action</w:t>
            </w:r>
            <w:r w:rsidRPr="00701EAF">
              <w:rPr>
                <w:rFonts w:ascii="TT Hoves Light" w:hAnsi="TT Hoves Light" w:cs="TimesNewRoman"/>
                <w:color w:val="000000" w:themeColor="text1" w:themeShade="BF"/>
              </w:rPr>
              <w:t xml:space="preserve">: </w:t>
            </w:r>
            <w:r w:rsidR="00E3475B">
              <w:rPr>
                <w:rFonts w:ascii="TT Hoves Light" w:hAnsi="TT Hoves Light" w:cs="TimesNewRoman"/>
                <w:color w:val="000000" w:themeColor="text1" w:themeShade="BF"/>
              </w:rPr>
              <w:t>68</w:t>
            </w:r>
            <w:r w:rsidR="001A0514">
              <w:rPr>
                <w:rFonts w:ascii="TT Hoves Light" w:hAnsi="TT Hoves Light" w:cs="TimesNewRoman"/>
                <w:color w:val="000000" w:themeColor="text1" w:themeShade="BF"/>
              </w:rPr>
              <w:t>,</w:t>
            </w:r>
            <w:r w:rsidR="00830EA0">
              <w:rPr>
                <w:rFonts w:ascii="TT Hoves Light" w:hAnsi="TT Hoves Light" w:cs="TimesNewRoman"/>
                <w:color w:val="000000" w:themeColor="text1" w:themeShade="BF"/>
              </w:rPr>
              <w:t>282</w:t>
            </w:r>
          </w:p>
          <w:p w14:paraId="284C1F45" w14:textId="77777777" w:rsidR="00F55C67" w:rsidRPr="00701EAF" w:rsidRDefault="00F55C67" w:rsidP="00F55C67">
            <w:pPr>
              <w:rPr>
                <w:rFonts w:ascii="TT Hoves Light" w:hAnsi="TT Hoves Light" w:cs="TimesNewRoman"/>
                <w:color w:val="000000" w:themeColor="text1" w:themeShade="BF"/>
              </w:rPr>
            </w:pPr>
          </w:p>
          <w:p w14:paraId="0B586A3E" w14:textId="6181174E" w:rsidR="00F55C67" w:rsidRDefault="00F55C67" w:rsidP="00F55C67">
            <w:pPr>
              <w:rPr>
                <w:rFonts w:ascii="TT Hoves Light" w:hAnsi="TT Hoves Light" w:cs="TimesNewRoman"/>
                <w:color w:val="000000" w:themeColor="text1" w:themeShade="BF"/>
              </w:rPr>
            </w:pPr>
            <w:r w:rsidRPr="00B92BB1">
              <w:rPr>
                <w:rFonts w:ascii="TT Hoves Light" w:hAnsi="TT Hoves Light" w:cs="TimesNewRoman"/>
                <w:color w:val="000000" w:themeColor="text1" w:themeShade="BF"/>
              </w:rPr>
              <w:t xml:space="preserve">Votes </w:t>
            </w:r>
            <w:r>
              <w:rPr>
                <w:rFonts w:ascii="TT Hoves Light" w:hAnsi="TT Hoves Light" w:cs="TimesNewRoman"/>
                <w:color w:val="000000" w:themeColor="text1" w:themeShade="BF"/>
              </w:rPr>
              <w:t>not in favour of proposed action</w:t>
            </w:r>
            <w:r w:rsidRPr="00D92E61">
              <w:rPr>
                <w:rFonts w:ascii="TT Hoves Light" w:hAnsi="TT Hoves Light" w:cs="TimesNewRoman"/>
                <w:color w:val="000000" w:themeColor="text1" w:themeShade="BF"/>
              </w:rPr>
              <w:t xml:space="preserve">: </w:t>
            </w:r>
            <w:r w:rsidR="00E3475B">
              <w:rPr>
                <w:rFonts w:ascii="TT Hoves Light" w:hAnsi="TT Hoves Light" w:cs="TimesNewRoman"/>
                <w:color w:val="000000" w:themeColor="text1" w:themeShade="BF"/>
              </w:rPr>
              <w:t>12</w:t>
            </w:r>
            <w:r w:rsidR="00602EEE">
              <w:rPr>
                <w:rFonts w:ascii="TT Hoves Light" w:hAnsi="TT Hoves Light" w:cs="TimesNewRoman"/>
                <w:color w:val="000000" w:themeColor="text1" w:themeShade="BF"/>
              </w:rPr>
              <w:t>,</w:t>
            </w:r>
            <w:r w:rsidR="00E3475B">
              <w:rPr>
                <w:rFonts w:ascii="TT Hoves Light" w:hAnsi="TT Hoves Light" w:cs="TimesNewRoman"/>
                <w:color w:val="000000" w:themeColor="text1" w:themeShade="BF"/>
              </w:rPr>
              <w:t>1</w:t>
            </w:r>
            <w:r w:rsidR="00830EA0">
              <w:rPr>
                <w:rFonts w:ascii="TT Hoves Light" w:hAnsi="TT Hoves Light" w:cs="TimesNewRoman"/>
                <w:color w:val="000000" w:themeColor="text1" w:themeShade="BF"/>
              </w:rPr>
              <w:t>47</w:t>
            </w:r>
          </w:p>
          <w:p w14:paraId="59F08DA3" w14:textId="77777777" w:rsidR="00F55C67" w:rsidRDefault="00F55C67" w:rsidP="00F55C67">
            <w:pPr>
              <w:rPr>
                <w:rFonts w:ascii="TT Hoves Light" w:hAnsi="TT Hoves Light" w:cs="TimesNewRoman"/>
                <w:color w:val="000000" w:themeColor="text1" w:themeShade="BF"/>
              </w:rPr>
            </w:pPr>
          </w:p>
          <w:p w14:paraId="65FF41D7" w14:textId="0051A32A" w:rsidR="00F1755C" w:rsidRDefault="00F55C67" w:rsidP="00F55C67">
            <w:pPr>
              <w:rPr>
                <w:rFonts w:ascii="TT Hoves Light" w:hAnsi="TT Hoves Light" w:cs="TimesNewRoman"/>
                <w:color w:val="000000" w:themeColor="text1" w:themeShade="BF"/>
              </w:rPr>
            </w:pPr>
            <w:r>
              <w:rPr>
                <w:rFonts w:ascii="TT Hoves Light" w:hAnsi="TT Hoves Light" w:cs="TimesNewRoman"/>
                <w:color w:val="000000" w:themeColor="text1" w:themeShade="BF"/>
              </w:rPr>
              <w:t xml:space="preserve">Votes ‘abstained’: </w:t>
            </w:r>
            <w:r w:rsidR="00446217">
              <w:rPr>
                <w:rFonts w:ascii="TT Hoves Light" w:hAnsi="TT Hoves Light" w:cs="TimesNewRoman"/>
                <w:color w:val="000000" w:themeColor="text1" w:themeShade="BF"/>
              </w:rPr>
              <w:t>551</w:t>
            </w:r>
          </w:p>
        </w:tc>
        <w:tc>
          <w:tcPr>
            <w:tcW w:w="2609" w:type="dxa"/>
            <w:tcBorders>
              <w:top w:val="single" w:sz="4" w:space="0" w:color="44546A" w:themeColor="text2"/>
              <w:left w:val="nil"/>
              <w:bottom w:val="single" w:sz="4" w:space="0" w:color="44546A" w:themeColor="text2"/>
              <w:right w:val="nil"/>
            </w:tcBorders>
            <w:vAlign w:val="center"/>
          </w:tcPr>
          <w:p w14:paraId="14BCA587" w14:textId="046FC272" w:rsidR="00A022FF" w:rsidRPr="00A022FF" w:rsidRDefault="00A022FF" w:rsidP="00B43AAF">
            <w:pPr>
              <w:pStyle w:val="ListParagraph"/>
              <w:autoSpaceDE w:val="0"/>
              <w:autoSpaceDN w:val="0"/>
              <w:adjustRightInd w:val="0"/>
              <w:ind w:left="0"/>
              <w:rPr>
                <w:rFonts w:ascii="TT Hoves Light" w:hAnsi="TT Hoves Light" w:cs="TimesNewRoman"/>
              </w:rPr>
            </w:pPr>
            <w:r w:rsidRPr="00A022FF">
              <w:rPr>
                <w:rFonts w:ascii="TT Hoves Light" w:hAnsi="TT Hoves Light" w:cs="TimesNewRoman"/>
              </w:rPr>
              <w:t>An example of a significant vote includes the following:</w:t>
            </w:r>
          </w:p>
          <w:p w14:paraId="068CD2A0" w14:textId="77777777" w:rsidR="00A022FF" w:rsidRDefault="00A022FF" w:rsidP="00B43AAF">
            <w:pPr>
              <w:pStyle w:val="ListParagraph"/>
              <w:autoSpaceDE w:val="0"/>
              <w:autoSpaceDN w:val="0"/>
              <w:adjustRightInd w:val="0"/>
              <w:ind w:left="0"/>
              <w:rPr>
                <w:rFonts w:ascii="TT Hoves Medium" w:hAnsi="TT Hoves Medium" w:cs="TimesNewRoman"/>
              </w:rPr>
            </w:pPr>
          </w:p>
          <w:p w14:paraId="0C8DB61B" w14:textId="73A8A45B" w:rsidR="00965569" w:rsidRDefault="009D35BC" w:rsidP="00B43AAF">
            <w:pPr>
              <w:pStyle w:val="ListParagraph"/>
              <w:autoSpaceDE w:val="0"/>
              <w:autoSpaceDN w:val="0"/>
              <w:adjustRightInd w:val="0"/>
              <w:ind w:left="0"/>
              <w:rPr>
                <w:rFonts w:ascii="TT Hoves Medium" w:hAnsi="TT Hoves Medium" w:cs="TimesNewRoman"/>
              </w:rPr>
            </w:pPr>
            <w:r>
              <w:rPr>
                <w:rFonts w:ascii="TT Hoves Medium" w:hAnsi="TT Hoves Medium" w:cs="TimesNewRoman"/>
              </w:rPr>
              <w:t xml:space="preserve">Whitehaven Coal </w:t>
            </w:r>
            <w:r w:rsidRPr="00F75CFB">
              <w:rPr>
                <w:rFonts w:ascii="TT Hoves Light" w:hAnsi="TT Hoves Light" w:cs="TimesNewRoman"/>
              </w:rPr>
              <w:t>– L&amp;G voted for the resolution to approve capital prote</w:t>
            </w:r>
            <w:r w:rsidR="00965569" w:rsidRPr="00F75CFB">
              <w:rPr>
                <w:rFonts w:ascii="TT Hoves Light" w:hAnsi="TT Hoves Light" w:cs="TimesNewRoman"/>
              </w:rPr>
              <w:t>ction after shareholders asked the company for a report on the potential wind-down of their coal operations, with the potential to return increasing amounts of capital to shareholders.</w:t>
            </w:r>
            <w:r w:rsidR="00C77CCA" w:rsidRPr="00F75CFB">
              <w:rPr>
                <w:rFonts w:ascii="TT Hoves Light" w:hAnsi="TT Hoves Light" w:cs="TimesNewRoman"/>
              </w:rPr>
              <w:t xml:space="preserve"> As the role of coal in the future energy mix is uncertain due to the </w:t>
            </w:r>
            <w:r w:rsidR="00F75CFB" w:rsidRPr="00F75CFB">
              <w:rPr>
                <w:rFonts w:ascii="TT Hoves Light" w:hAnsi="TT Hoves Light" w:cs="TimesNewRoman"/>
              </w:rPr>
              <w:t>competitiveness of renewable energy and increasing regulation, L&amp;G have advocated for managed decline for fossil fuel companies, with capital returned to shareholders instead of being spent on diversification and growth assets, hence L&amp;G</w:t>
            </w:r>
            <w:r w:rsidR="007657B3">
              <w:rPr>
                <w:rFonts w:ascii="TT Hoves Light" w:hAnsi="TT Hoves Light" w:cs="TimesNewRoman"/>
              </w:rPr>
              <w:t xml:space="preserve"> </w:t>
            </w:r>
            <w:r w:rsidR="00F75CFB" w:rsidRPr="00F75CFB">
              <w:rPr>
                <w:rFonts w:ascii="TT Hoves Light" w:hAnsi="TT Hoves Light" w:cs="TimesNewRoman"/>
              </w:rPr>
              <w:t>voted for the resolution</w:t>
            </w:r>
            <w:r w:rsidR="00535C66">
              <w:rPr>
                <w:rFonts w:ascii="TT Hoves Light" w:hAnsi="TT Hoves Light" w:cs="TimesNewRoman"/>
              </w:rPr>
              <w:t>.</w:t>
            </w:r>
          </w:p>
        </w:tc>
        <w:tc>
          <w:tcPr>
            <w:tcW w:w="3015" w:type="dxa"/>
            <w:tcBorders>
              <w:top w:val="single" w:sz="4" w:space="0" w:color="44546A" w:themeColor="text2"/>
              <w:left w:val="nil"/>
              <w:bottom w:val="single" w:sz="4" w:space="0" w:color="auto"/>
              <w:right w:val="nil"/>
            </w:tcBorders>
            <w:vAlign w:val="center"/>
          </w:tcPr>
          <w:p w14:paraId="338FCF46" w14:textId="0B49E697" w:rsidR="00F1755C" w:rsidRDefault="00D27FB5" w:rsidP="00A44768">
            <w:pPr>
              <w:pStyle w:val="ListParagraph"/>
              <w:autoSpaceDE w:val="0"/>
              <w:autoSpaceDN w:val="0"/>
              <w:adjustRightInd w:val="0"/>
              <w:ind w:left="0"/>
              <w:rPr>
                <w:rFonts w:ascii="TT Hoves Light" w:hAnsi="TT Hoves Light" w:cs="TimesNewRoman"/>
              </w:rPr>
            </w:pPr>
            <w:r>
              <w:rPr>
                <w:rFonts w:ascii="TT Hoves Light" w:hAnsi="TT Hoves Light" w:cs="TimesNewRoman"/>
              </w:rPr>
              <w:t>L&amp;G’s voting activated are driven by ESG professionals and their assessment of the requirements in these areas seeks to achieve the best outcome for their clients.</w:t>
            </w:r>
          </w:p>
        </w:tc>
      </w:tr>
    </w:tbl>
    <w:p w14:paraId="793320FE" w14:textId="77777777" w:rsidR="006D31C2" w:rsidRPr="00137FCB" w:rsidRDefault="006D31C2" w:rsidP="00535C66">
      <w:pPr>
        <w:rPr>
          <w:rFonts w:ascii="TT Hoves Light" w:hAnsi="TT Hoves Light" w:cs="Arial"/>
          <w:color w:val="000000"/>
          <w:sz w:val="20"/>
          <w:szCs w:val="20"/>
        </w:rPr>
      </w:pPr>
    </w:p>
    <w:sectPr w:rsidR="006D31C2" w:rsidRPr="00137FCB" w:rsidSect="00415C2B">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5CC40" w14:textId="77777777" w:rsidR="001941EF" w:rsidRDefault="001941EF" w:rsidP="007315F1">
      <w:r>
        <w:separator/>
      </w:r>
    </w:p>
  </w:endnote>
  <w:endnote w:type="continuationSeparator" w:id="0">
    <w:p w14:paraId="326FCAAE" w14:textId="77777777" w:rsidR="001941EF" w:rsidRDefault="001941EF" w:rsidP="007315F1">
      <w:r>
        <w:continuationSeparator/>
      </w:r>
    </w:p>
  </w:endnote>
  <w:endnote w:type="continuationNotice" w:id="1">
    <w:p w14:paraId="16C15D7A" w14:textId="77777777" w:rsidR="001941EF" w:rsidRDefault="001941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Hoves Medium">
    <w:altName w:val="Calibri"/>
    <w:charset w:val="00"/>
    <w:family w:val="auto"/>
    <w:pitch w:val="variable"/>
    <w:sig w:usb0="A000027F" w:usb1="5000A4F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T Hoves Light">
    <w:altName w:val="Calibri"/>
    <w:charset w:val="00"/>
    <w:family w:val="auto"/>
    <w:pitch w:val="variable"/>
    <w:sig w:usb0="A000027F" w:usb1="5000A4FB" w:usb2="00000000" w:usb3="00000000" w:csb0="00000097"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318A" w14:textId="77777777" w:rsidR="00347580" w:rsidRDefault="003475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99A8" w14:textId="77777777" w:rsidR="00347580" w:rsidRDefault="003475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04A7" w14:textId="77777777" w:rsidR="00347580" w:rsidRDefault="00347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FDD700" w14:textId="77777777" w:rsidR="001941EF" w:rsidRDefault="001941EF" w:rsidP="007315F1">
      <w:r>
        <w:separator/>
      </w:r>
    </w:p>
  </w:footnote>
  <w:footnote w:type="continuationSeparator" w:id="0">
    <w:p w14:paraId="1E566D77" w14:textId="77777777" w:rsidR="001941EF" w:rsidRDefault="001941EF" w:rsidP="007315F1">
      <w:r>
        <w:continuationSeparator/>
      </w:r>
    </w:p>
  </w:footnote>
  <w:footnote w:type="continuationNotice" w:id="1">
    <w:p w14:paraId="728A19FD" w14:textId="77777777" w:rsidR="001941EF" w:rsidRDefault="001941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7AA8B" w14:textId="77777777" w:rsidR="00347580" w:rsidRDefault="00347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CC233" w14:textId="77777777" w:rsidR="00347580" w:rsidRDefault="003475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B1DD9" w14:textId="77777777" w:rsidR="00347580" w:rsidRDefault="003475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73D"/>
    <w:multiLevelType w:val="hybridMultilevel"/>
    <w:tmpl w:val="87D8D7E2"/>
    <w:lvl w:ilvl="0" w:tplc="7BDC3BC6">
      <w:start w:val="1"/>
      <w:numFmt w:val="decimal"/>
      <w:lvlText w:val="%1."/>
      <w:lvlJc w:val="left"/>
      <w:pPr>
        <w:ind w:left="1287" w:hanging="360"/>
      </w:pPr>
      <w:rPr>
        <w:b/>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 w15:restartNumberingAfterBreak="0">
    <w:nsid w:val="08CA5151"/>
    <w:multiLevelType w:val="hybridMultilevel"/>
    <w:tmpl w:val="C88A0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0271"/>
    <w:multiLevelType w:val="hybridMultilevel"/>
    <w:tmpl w:val="00448978"/>
    <w:lvl w:ilvl="0" w:tplc="E1ECBED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72499A"/>
    <w:multiLevelType w:val="hybridMultilevel"/>
    <w:tmpl w:val="9DCE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1E674E"/>
    <w:multiLevelType w:val="hybridMultilevel"/>
    <w:tmpl w:val="23F6D984"/>
    <w:lvl w:ilvl="0" w:tplc="2D6C080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8805050"/>
    <w:multiLevelType w:val="hybridMultilevel"/>
    <w:tmpl w:val="D8FCB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F34D6E"/>
    <w:multiLevelType w:val="hybridMultilevel"/>
    <w:tmpl w:val="DFB4917A"/>
    <w:lvl w:ilvl="0" w:tplc="E1ECBED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A7444"/>
    <w:multiLevelType w:val="hybridMultilevel"/>
    <w:tmpl w:val="669628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58702F"/>
    <w:multiLevelType w:val="hybridMultilevel"/>
    <w:tmpl w:val="D32A9E8C"/>
    <w:lvl w:ilvl="0" w:tplc="06AE7A6A">
      <w:start w:val="1"/>
      <w:numFmt w:val="bullet"/>
      <w:lvlText w:val="-"/>
      <w:lvlJc w:val="left"/>
      <w:pPr>
        <w:ind w:left="720" w:hanging="360"/>
      </w:pPr>
      <w:rPr>
        <w:rFonts w:ascii="TT Hoves Medium" w:eastAsiaTheme="minorHAnsi" w:hAnsi="TT Hoves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B6E71"/>
    <w:multiLevelType w:val="hybridMultilevel"/>
    <w:tmpl w:val="4BCA1C4A"/>
    <w:lvl w:ilvl="0" w:tplc="E1ECBE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8583C"/>
    <w:multiLevelType w:val="hybridMultilevel"/>
    <w:tmpl w:val="770A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8"/>
  </w:num>
  <w:num w:numId="5">
    <w:abstractNumId w:val="0"/>
  </w:num>
  <w:num w:numId="6">
    <w:abstractNumId w:val="6"/>
  </w:num>
  <w:num w:numId="7">
    <w:abstractNumId w:val="3"/>
  </w:num>
  <w:num w:numId="8">
    <w:abstractNumId w:val="10"/>
  </w:num>
  <w:num w:numId="9">
    <w:abstractNumId w:val="9"/>
  </w:num>
  <w:num w:numId="10">
    <w:abstractNumId w:val="4"/>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7D"/>
    <w:rsid w:val="00000F21"/>
    <w:rsid w:val="000011AE"/>
    <w:rsid w:val="000052EA"/>
    <w:rsid w:val="00020F51"/>
    <w:rsid w:val="00023E6E"/>
    <w:rsid w:val="00026CAB"/>
    <w:rsid w:val="000349CC"/>
    <w:rsid w:val="000375F5"/>
    <w:rsid w:val="0004162B"/>
    <w:rsid w:val="000432DC"/>
    <w:rsid w:val="00043B88"/>
    <w:rsid w:val="000479E7"/>
    <w:rsid w:val="000510E8"/>
    <w:rsid w:val="000567B4"/>
    <w:rsid w:val="00057C06"/>
    <w:rsid w:val="000767F3"/>
    <w:rsid w:val="000769A6"/>
    <w:rsid w:val="0009248B"/>
    <w:rsid w:val="00096782"/>
    <w:rsid w:val="000A00AC"/>
    <w:rsid w:val="000A2678"/>
    <w:rsid w:val="000A2EDC"/>
    <w:rsid w:val="000A3A4C"/>
    <w:rsid w:val="000A3B58"/>
    <w:rsid w:val="000B0532"/>
    <w:rsid w:val="000B1465"/>
    <w:rsid w:val="000B22A9"/>
    <w:rsid w:val="000B5F94"/>
    <w:rsid w:val="000C21CA"/>
    <w:rsid w:val="000C361F"/>
    <w:rsid w:val="000C3838"/>
    <w:rsid w:val="000D091F"/>
    <w:rsid w:val="000D62DC"/>
    <w:rsid w:val="000E2105"/>
    <w:rsid w:val="000E2154"/>
    <w:rsid w:val="000E38C0"/>
    <w:rsid w:val="000E3F33"/>
    <w:rsid w:val="000E4304"/>
    <w:rsid w:val="000F2ED1"/>
    <w:rsid w:val="000F37C2"/>
    <w:rsid w:val="00104851"/>
    <w:rsid w:val="00105586"/>
    <w:rsid w:val="00106054"/>
    <w:rsid w:val="0011159D"/>
    <w:rsid w:val="00117640"/>
    <w:rsid w:val="00126CFB"/>
    <w:rsid w:val="001328DA"/>
    <w:rsid w:val="00136A98"/>
    <w:rsid w:val="00137FCB"/>
    <w:rsid w:val="00141730"/>
    <w:rsid w:val="00151D69"/>
    <w:rsid w:val="00151EB1"/>
    <w:rsid w:val="00152A8C"/>
    <w:rsid w:val="001558BF"/>
    <w:rsid w:val="00155951"/>
    <w:rsid w:val="00155DAC"/>
    <w:rsid w:val="00161B86"/>
    <w:rsid w:val="00162BB1"/>
    <w:rsid w:val="0016486F"/>
    <w:rsid w:val="00167002"/>
    <w:rsid w:val="001700F2"/>
    <w:rsid w:val="00171F3A"/>
    <w:rsid w:val="00175A73"/>
    <w:rsid w:val="0018144C"/>
    <w:rsid w:val="001830A9"/>
    <w:rsid w:val="00184D4E"/>
    <w:rsid w:val="00185049"/>
    <w:rsid w:val="00191EB4"/>
    <w:rsid w:val="00192968"/>
    <w:rsid w:val="001941EF"/>
    <w:rsid w:val="001972BE"/>
    <w:rsid w:val="001A0514"/>
    <w:rsid w:val="001A0CF7"/>
    <w:rsid w:val="001A533E"/>
    <w:rsid w:val="001C077C"/>
    <w:rsid w:val="001C1F42"/>
    <w:rsid w:val="001D4EED"/>
    <w:rsid w:val="001D6D66"/>
    <w:rsid w:val="001D7033"/>
    <w:rsid w:val="001D75E1"/>
    <w:rsid w:val="001E33D7"/>
    <w:rsid w:val="001E3818"/>
    <w:rsid w:val="001E5E11"/>
    <w:rsid w:val="001F26A3"/>
    <w:rsid w:val="001F30CD"/>
    <w:rsid w:val="001F4998"/>
    <w:rsid w:val="00202BD5"/>
    <w:rsid w:val="00202D12"/>
    <w:rsid w:val="002063FC"/>
    <w:rsid w:val="0020698B"/>
    <w:rsid w:val="00207128"/>
    <w:rsid w:val="00210745"/>
    <w:rsid w:val="002112BF"/>
    <w:rsid w:val="0021139F"/>
    <w:rsid w:val="00213DA2"/>
    <w:rsid w:val="002156F1"/>
    <w:rsid w:val="002168F2"/>
    <w:rsid w:val="00223429"/>
    <w:rsid w:val="00230778"/>
    <w:rsid w:val="00231398"/>
    <w:rsid w:val="0024038D"/>
    <w:rsid w:val="00240C4B"/>
    <w:rsid w:val="00241A6F"/>
    <w:rsid w:val="00242D2F"/>
    <w:rsid w:val="00245462"/>
    <w:rsid w:val="0024553B"/>
    <w:rsid w:val="002550E8"/>
    <w:rsid w:val="00260713"/>
    <w:rsid w:val="002624F4"/>
    <w:rsid w:val="00263590"/>
    <w:rsid w:val="00263D5C"/>
    <w:rsid w:val="0026620C"/>
    <w:rsid w:val="00271BCA"/>
    <w:rsid w:val="00274B6D"/>
    <w:rsid w:val="00276053"/>
    <w:rsid w:val="00277776"/>
    <w:rsid w:val="00282AA1"/>
    <w:rsid w:val="00290E19"/>
    <w:rsid w:val="00296963"/>
    <w:rsid w:val="002A3C32"/>
    <w:rsid w:val="002A6F1F"/>
    <w:rsid w:val="002A7BD0"/>
    <w:rsid w:val="002B0CAA"/>
    <w:rsid w:val="002B1C1C"/>
    <w:rsid w:val="002D1536"/>
    <w:rsid w:val="002D34C0"/>
    <w:rsid w:val="002D7CEE"/>
    <w:rsid w:val="002E46BF"/>
    <w:rsid w:val="002F24D0"/>
    <w:rsid w:val="002F3061"/>
    <w:rsid w:val="002F3375"/>
    <w:rsid w:val="00302D55"/>
    <w:rsid w:val="003037A3"/>
    <w:rsid w:val="00306843"/>
    <w:rsid w:val="00306D00"/>
    <w:rsid w:val="00313752"/>
    <w:rsid w:val="00314488"/>
    <w:rsid w:val="00316004"/>
    <w:rsid w:val="003175D1"/>
    <w:rsid w:val="00320616"/>
    <w:rsid w:val="00325405"/>
    <w:rsid w:val="00325836"/>
    <w:rsid w:val="00326D9F"/>
    <w:rsid w:val="0033231D"/>
    <w:rsid w:val="00343EA0"/>
    <w:rsid w:val="00345B27"/>
    <w:rsid w:val="00346B90"/>
    <w:rsid w:val="00347580"/>
    <w:rsid w:val="00352B2C"/>
    <w:rsid w:val="00353E88"/>
    <w:rsid w:val="003579DB"/>
    <w:rsid w:val="00362669"/>
    <w:rsid w:val="00373493"/>
    <w:rsid w:val="003739BB"/>
    <w:rsid w:val="00374ACE"/>
    <w:rsid w:val="0037629F"/>
    <w:rsid w:val="00387474"/>
    <w:rsid w:val="00387EF5"/>
    <w:rsid w:val="00391366"/>
    <w:rsid w:val="003936C7"/>
    <w:rsid w:val="00393B2B"/>
    <w:rsid w:val="00394879"/>
    <w:rsid w:val="003955B8"/>
    <w:rsid w:val="003A1A5A"/>
    <w:rsid w:val="003A45C2"/>
    <w:rsid w:val="003B1FFD"/>
    <w:rsid w:val="003B3E7D"/>
    <w:rsid w:val="003B53D7"/>
    <w:rsid w:val="003C7302"/>
    <w:rsid w:val="003D2E0C"/>
    <w:rsid w:val="003E0762"/>
    <w:rsid w:val="003E67BB"/>
    <w:rsid w:val="003F0D53"/>
    <w:rsid w:val="003F4104"/>
    <w:rsid w:val="003F61AB"/>
    <w:rsid w:val="00401949"/>
    <w:rsid w:val="004048EC"/>
    <w:rsid w:val="00405EC3"/>
    <w:rsid w:val="00410468"/>
    <w:rsid w:val="00410A43"/>
    <w:rsid w:val="00410EAD"/>
    <w:rsid w:val="00415C2B"/>
    <w:rsid w:val="00416857"/>
    <w:rsid w:val="00423400"/>
    <w:rsid w:val="004252AD"/>
    <w:rsid w:val="00434ED7"/>
    <w:rsid w:val="0044383A"/>
    <w:rsid w:val="00443881"/>
    <w:rsid w:val="00446217"/>
    <w:rsid w:val="0044770E"/>
    <w:rsid w:val="004477FD"/>
    <w:rsid w:val="004507C9"/>
    <w:rsid w:val="004512FB"/>
    <w:rsid w:val="00455319"/>
    <w:rsid w:val="00455D6D"/>
    <w:rsid w:val="00457758"/>
    <w:rsid w:val="00466B8A"/>
    <w:rsid w:val="00477EA1"/>
    <w:rsid w:val="004828CD"/>
    <w:rsid w:val="004845BE"/>
    <w:rsid w:val="0049379F"/>
    <w:rsid w:val="00493C59"/>
    <w:rsid w:val="004A093F"/>
    <w:rsid w:val="004A27FA"/>
    <w:rsid w:val="004A4A7E"/>
    <w:rsid w:val="004B04FE"/>
    <w:rsid w:val="004B1D18"/>
    <w:rsid w:val="004C3996"/>
    <w:rsid w:val="004C5DED"/>
    <w:rsid w:val="004D31CD"/>
    <w:rsid w:val="004D398C"/>
    <w:rsid w:val="004D5DC7"/>
    <w:rsid w:val="004D75B1"/>
    <w:rsid w:val="004E2C78"/>
    <w:rsid w:val="004E34FD"/>
    <w:rsid w:val="004E5594"/>
    <w:rsid w:val="004F3BCC"/>
    <w:rsid w:val="005039DF"/>
    <w:rsid w:val="005048FA"/>
    <w:rsid w:val="00525B6C"/>
    <w:rsid w:val="005260FA"/>
    <w:rsid w:val="00533D0F"/>
    <w:rsid w:val="00535C66"/>
    <w:rsid w:val="005514C9"/>
    <w:rsid w:val="00552C24"/>
    <w:rsid w:val="005531D9"/>
    <w:rsid w:val="00553FAD"/>
    <w:rsid w:val="00557586"/>
    <w:rsid w:val="00561130"/>
    <w:rsid w:val="00561C8A"/>
    <w:rsid w:val="005626B4"/>
    <w:rsid w:val="00564231"/>
    <w:rsid w:val="00564A74"/>
    <w:rsid w:val="005731DC"/>
    <w:rsid w:val="0057367D"/>
    <w:rsid w:val="0057376C"/>
    <w:rsid w:val="00584F7F"/>
    <w:rsid w:val="00585AAD"/>
    <w:rsid w:val="005908A3"/>
    <w:rsid w:val="00592301"/>
    <w:rsid w:val="0059286E"/>
    <w:rsid w:val="00595BDE"/>
    <w:rsid w:val="005A6AD3"/>
    <w:rsid w:val="005B71D3"/>
    <w:rsid w:val="005C14E0"/>
    <w:rsid w:val="005C1F77"/>
    <w:rsid w:val="005C6381"/>
    <w:rsid w:val="005D2ECC"/>
    <w:rsid w:val="005E2A44"/>
    <w:rsid w:val="005E4553"/>
    <w:rsid w:val="005E620A"/>
    <w:rsid w:val="005F45A8"/>
    <w:rsid w:val="005F4ECB"/>
    <w:rsid w:val="00602EEE"/>
    <w:rsid w:val="00603B57"/>
    <w:rsid w:val="00605309"/>
    <w:rsid w:val="006107AE"/>
    <w:rsid w:val="00616B0D"/>
    <w:rsid w:val="00616C3D"/>
    <w:rsid w:val="00630C26"/>
    <w:rsid w:val="00633CE7"/>
    <w:rsid w:val="00636D1D"/>
    <w:rsid w:val="00645B9A"/>
    <w:rsid w:val="00645BF8"/>
    <w:rsid w:val="006500EF"/>
    <w:rsid w:val="006547BF"/>
    <w:rsid w:val="00670BC4"/>
    <w:rsid w:val="0067181A"/>
    <w:rsid w:val="006769EE"/>
    <w:rsid w:val="00681125"/>
    <w:rsid w:val="00681950"/>
    <w:rsid w:val="00682812"/>
    <w:rsid w:val="00686119"/>
    <w:rsid w:val="0069110C"/>
    <w:rsid w:val="00694F7C"/>
    <w:rsid w:val="006A098A"/>
    <w:rsid w:val="006A10DD"/>
    <w:rsid w:val="006A2908"/>
    <w:rsid w:val="006A2EC9"/>
    <w:rsid w:val="006B0F55"/>
    <w:rsid w:val="006B6324"/>
    <w:rsid w:val="006C615A"/>
    <w:rsid w:val="006D0E45"/>
    <w:rsid w:val="006D1A0C"/>
    <w:rsid w:val="006D1A5C"/>
    <w:rsid w:val="006D31C2"/>
    <w:rsid w:val="006E413B"/>
    <w:rsid w:val="006F1D1B"/>
    <w:rsid w:val="006F632E"/>
    <w:rsid w:val="00700E7E"/>
    <w:rsid w:val="00701EAF"/>
    <w:rsid w:val="00712BB4"/>
    <w:rsid w:val="00714652"/>
    <w:rsid w:val="00726529"/>
    <w:rsid w:val="00730B20"/>
    <w:rsid w:val="007315F1"/>
    <w:rsid w:val="00731C24"/>
    <w:rsid w:val="007567F6"/>
    <w:rsid w:val="00760110"/>
    <w:rsid w:val="00761D4F"/>
    <w:rsid w:val="00764F44"/>
    <w:rsid w:val="007657B3"/>
    <w:rsid w:val="00767A14"/>
    <w:rsid w:val="007715D4"/>
    <w:rsid w:val="007769D9"/>
    <w:rsid w:val="00781571"/>
    <w:rsid w:val="00783DC3"/>
    <w:rsid w:val="007860E6"/>
    <w:rsid w:val="00792A81"/>
    <w:rsid w:val="00793B44"/>
    <w:rsid w:val="007958A7"/>
    <w:rsid w:val="007A05C6"/>
    <w:rsid w:val="007A2EEC"/>
    <w:rsid w:val="007A7C02"/>
    <w:rsid w:val="007C0551"/>
    <w:rsid w:val="007C26E1"/>
    <w:rsid w:val="007C40BA"/>
    <w:rsid w:val="007C4D27"/>
    <w:rsid w:val="007D04FE"/>
    <w:rsid w:val="007D0542"/>
    <w:rsid w:val="007D07BA"/>
    <w:rsid w:val="007D3774"/>
    <w:rsid w:val="007D38F8"/>
    <w:rsid w:val="007D656C"/>
    <w:rsid w:val="007D68CE"/>
    <w:rsid w:val="007E0ECB"/>
    <w:rsid w:val="007E17A4"/>
    <w:rsid w:val="007E4715"/>
    <w:rsid w:val="007E4818"/>
    <w:rsid w:val="007E788A"/>
    <w:rsid w:val="007F08ED"/>
    <w:rsid w:val="007F18B5"/>
    <w:rsid w:val="007F2BAE"/>
    <w:rsid w:val="00802BE6"/>
    <w:rsid w:val="00802C4B"/>
    <w:rsid w:val="008057F9"/>
    <w:rsid w:val="00806C6B"/>
    <w:rsid w:val="00807C88"/>
    <w:rsid w:val="008145C6"/>
    <w:rsid w:val="008152A3"/>
    <w:rsid w:val="00820E09"/>
    <w:rsid w:val="00821BD5"/>
    <w:rsid w:val="00823E7C"/>
    <w:rsid w:val="00824013"/>
    <w:rsid w:val="008264BC"/>
    <w:rsid w:val="00827415"/>
    <w:rsid w:val="00830031"/>
    <w:rsid w:val="00830EA0"/>
    <w:rsid w:val="00832A72"/>
    <w:rsid w:val="008351EC"/>
    <w:rsid w:val="00836A70"/>
    <w:rsid w:val="00840C2D"/>
    <w:rsid w:val="00843A86"/>
    <w:rsid w:val="00843F51"/>
    <w:rsid w:val="00845068"/>
    <w:rsid w:val="0084607E"/>
    <w:rsid w:val="00855F89"/>
    <w:rsid w:val="008562ED"/>
    <w:rsid w:val="00857108"/>
    <w:rsid w:val="0086126D"/>
    <w:rsid w:val="00862437"/>
    <w:rsid w:val="008627AB"/>
    <w:rsid w:val="00870A49"/>
    <w:rsid w:val="00872CAF"/>
    <w:rsid w:val="008758FA"/>
    <w:rsid w:val="008806B2"/>
    <w:rsid w:val="0088092D"/>
    <w:rsid w:val="00883948"/>
    <w:rsid w:val="00886BA5"/>
    <w:rsid w:val="00887BE2"/>
    <w:rsid w:val="008904A5"/>
    <w:rsid w:val="008A263C"/>
    <w:rsid w:val="008A26AA"/>
    <w:rsid w:val="008A296B"/>
    <w:rsid w:val="008B2FEA"/>
    <w:rsid w:val="008B6F02"/>
    <w:rsid w:val="008C01FC"/>
    <w:rsid w:val="008C490B"/>
    <w:rsid w:val="008D2D73"/>
    <w:rsid w:val="008D3B05"/>
    <w:rsid w:val="008D4459"/>
    <w:rsid w:val="008E15F2"/>
    <w:rsid w:val="008E78B2"/>
    <w:rsid w:val="008F0188"/>
    <w:rsid w:val="008F310B"/>
    <w:rsid w:val="008F342B"/>
    <w:rsid w:val="008F3EB6"/>
    <w:rsid w:val="009009E9"/>
    <w:rsid w:val="00902EF5"/>
    <w:rsid w:val="0090487A"/>
    <w:rsid w:val="00911788"/>
    <w:rsid w:val="0091228A"/>
    <w:rsid w:val="009126B1"/>
    <w:rsid w:val="00914D48"/>
    <w:rsid w:val="0091762B"/>
    <w:rsid w:val="00917E61"/>
    <w:rsid w:val="0092708D"/>
    <w:rsid w:val="00930FF1"/>
    <w:rsid w:val="00935C88"/>
    <w:rsid w:val="00941922"/>
    <w:rsid w:val="00941BD3"/>
    <w:rsid w:val="00942A68"/>
    <w:rsid w:val="00942F23"/>
    <w:rsid w:val="00947A6D"/>
    <w:rsid w:val="00947CB7"/>
    <w:rsid w:val="00950C62"/>
    <w:rsid w:val="0095199E"/>
    <w:rsid w:val="00953112"/>
    <w:rsid w:val="0095356F"/>
    <w:rsid w:val="00954786"/>
    <w:rsid w:val="00957E10"/>
    <w:rsid w:val="00964245"/>
    <w:rsid w:val="009648CE"/>
    <w:rsid w:val="00965569"/>
    <w:rsid w:val="009677A1"/>
    <w:rsid w:val="00971618"/>
    <w:rsid w:val="009764A8"/>
    <w:rsid w:val="00976C72"/>
    <w:rsid w:val="00977D6C"/>
    <w:rsid w:val="00987D8A"/>
    <w:rsid w:val="00990489"/>
    <w:rsid w:val="00990AC6"/>
    <w:rsid w:val="009957D1"/>
    <w:rsid w:val="00996A29"/>
    <w:rsid w:val="009A2931"/>
    <w:rsid w:val="009A2940"/>
    <w:rsid w:val="009A4240"/>
    <w:rsid w:val="009B219A"/>
    <w:rsid w:val="009B6567"/>
    <w:rsid w:val="009C0B98"/>
    <w:rsid w:val="009D08B6"/>
    <w:rsid w:val="009D1529"/>
    <w:rsid w:val="009D18A3"/>
    <w:rsid w:val="009D35BC"/>
    <w:rsid w:val="009D4A45"/>
    <w:rsid w:val="009E6B7B"/>
    <w:rsid w:val="009F4EDF"/>
    <w:rsid w:val="009F69FD"/>
    <w:rsid w:val="00A0160D"/>
    <w:rsid w:val="00A022FF"/>
    <w:rsid w:val="00A07967"/>
    <w:rsid w:val="00A13DC8"/>
    <w:rsid w:val="00A15748"/>
    <w:rsid w:val="00A21583"/>
    <w:rsid w:val="00A22769"/>
    <w:rsid w:val="00A25FC7"/>
    <w:rsid w:val="00A263B5"/>
    <w:rsid w:val="00A2660F"/>
    <w:rsid w:val="00A44768"/>
    <w:rsid w:val="00A452FB"/>
    <w:rsid w:val="00A517B5"/>
    <w:rsid w:val="00A55560"/>
    <w:rsid w:val="00A559B0"/>
    <w:rsid w:val="00A75239"/>
    <w:rsid w:val="00A75812"/>
    <w:rsid w:val="00A83482"/>
    <w:rsid w:val="00A83893"/>
    <w:rsid w:val="00A91E19"/>
    <w:rsid w:val="00A920A6"/>
    <w:rsid w:val="00A94385"/>
    <w:rsid w:val="00AA659A"/>
    <w:rsid w:val="00AB0B4C"/>
    <w:rsid w:val="00AB59DF"/>
    <w:rsid w:val="00AB7C13"/>
    <w:rsid w:val="00AC0C36"/>
    <w:rsid w:val="00AC262F"/>
    <w:rsid w:val="00AC5418"/>
    <w:rsid w:val="00AD7E97"/>
    <w:rsid w:val="00AE109B"/>
    <w:rsid w:val="00AE568E"/>
    <w:rsid w:val="00B0287C"/>
    <w:rsid w:val="00B02AF7"/>
    <w:rsid w:val="00B10556"/>
    <w:rsid w:val="00B11365"/>
    <w:rsid w:val="00B132DA"/>
    <w:rsid w:val="00B21358"/>
    <w:rsid w:val="00B23200"/>
    <w:rsid w:val="00B30AEC"/>
    <w:rsid w:val="00B43AAF"/>
    <w:rsid w:val="00B44F53"/>
    <w:rsid w:val="00B455A1"/>
    <w:rsid w:val="00B468EA"/>
    <w:rsid w:val="00B54732"/>
    <w:rsid w:val="00B563B2"/>
    <w:rsid w:val="00B62632"/>
    <w:rsid w:val="00B62D90"/>
    <w:rsid w:val="00B633DE"/>
    <w:rsid w:val="00B66E98"/>
    <w:rsid w:val="00B71A19"/>
    <w:rsid w:val="00B7702D"/>
    <w:rsid w:val="00B7798D"/>
    <w:rsid w:val="00B85B28"/>
    <w:rsid w:val="00B86EE9"/>
    <w:rsid w:val="00B92172"/>
    <w:rsid w:val="00B92BB1"/>
    <w:rsid w:val="00B92F44"/>
    <w:rsid w:val="00BA122B"/>
    <w:rsid w:val="00BA3EF2"/>
    <w:rsid w:val="00BA4E4A"/>
    <w:rsid w:val="00BB697E"/>
    <w:rsid w:val="00BB7216"/>
    <w:rsid w:val="00BB7559"/>
    <w:rsid w:val="00BC1979"/>
    <w:rsid w:val="00BC54AF"/>
    <w:rsid w:val="00BD075F"/>
    <w:rsid w:val="00BD3EF8"/>
    <w:rsid w:val="00BD6DEF"/>
    <w:rsid w:val="00BE19F9"/>
    <w:rsid w:val="00BE4793"/>
    <w:rsid w:val="00BF1F00"/>
    <w:rsid w:val="00BF2643"/>
    <w:rsid w:val="00BF5C0F"/>
    <w:rsid w:val="00C00F13"/>
    <w:rsid w:val="00C04597"/>
    <w:rsid w:val="00C06862"/>
    <w:rsid w:val="00C06DCF"/>
    <w:rsid w:val="00C076B9"/>
    <w:rsid w:val="00C1041D"/>
    <w:rsid w:val="00C150F3"/>
    <w:rsid w:val="00C173B1"/>
    <w:rsid w:val="00C17EA9"/>
    <w:rsid w:val="00C25879"/>
    <w:rsid w:val="00C311E9"/>
    <w:rsid w:val="00C31E90"/>
    <w:rsid w:val="00C33596"/>
    <w:rsid w:val="00C3381F"/>
    <w:rsid w:val="00C36A61"/>
    <w:rsid w:val="00C37BD4"/>
    <w:rsid w:val="00C4387E"/>
    <w:rsid w:val="00C44360"/>
    <w:rsid w:val="00C51A68"/>
    <w:rsid w:val="00C53A55"/>
    <w:rsid w:val="00C71EF3"/>
    <w:rsid w:val="00C7492E"/>
    <w:rsid w:val="00C74E90"/>
    <w:rsid w:val="00C77CCA"/>
    <w:rsid w:val="00C77FF9"/>
    <w:rsid w:val="00C80FA4"/>
    <w:rsid w:val="00C85312"/>
    <w:rsid w:val="00C90576"/>
    <w:rsid w:val="00C92AFA"/>
    <w:rsid w:val="00C95520"/>
    <w:rsid w:val="00CB7846"/>
    <w:rsid w:val="00CC0BF4"/>
    <w:rsid w:val="00CC2A76"/>
    <w:rsid w:val="00CC4E40"/>
    <w:rsid w:val="00CC603E"/>
    <w:rsid w:val="00CC7CD8"/>
    <w:rsid w:val="00CD02C0"/>
    <w:rsid w:val="00CD0A02"/>
    <w:rsid w:val="00CE05B8"/>
    <w:rsid w:val="00CE2377"/>
    <w:rsid w:val="00CE3DD1"/>
    <w:rsid w:val="00CE76E1"/>
    <w:rsid w:val="00CF0084"/>
    <w:rsid w:val="00CF5E26"/>
    <w:rsid w:val="00CF64DB"/>
    <w:rsid w:val="00D0289B"/>
    <w:rsid w:val="00D03A45"/>
    <w:rsid w:val="00D10198"/>
    <w:rsid w:val="00D16ACF"/>
    <w:rsid w:val="00D215F2"/>
    <w:rsid w:val="00D24C52"/>
    <w:rsid w:val="00D256C7"/>
    <w:rsid w:val="00D276F8"/>
    <w:rsid w:val="00D27FB5"/>
    <w:rsid w:val="00D3299B"/>
    <w:rsid w:val="00D40F53"/>
    <w:rsid w:val="00D43C1F"/>
    <w:rsid w:val="00D43D06"/>
    <w:rsid w:val="00D45F21"/>
    <w:rsid w:val="00D529DC"/>
    <w:rsid w:val="00D52EF0"/>
    <w:rsid w:val="00D53269"/>
    <w:rsid w:val="00D62239"/>
    <w:rsid w:val="00D67860"/>
    <w:rsid w:val="00D759F7"/>
    <w:rsid w:val="00D8046E"/>
    <w:rsid w:val="00D830A7"/>
    <w:rsid w:val="00D8575F"/>
    <w:rsid w:val="00D87433"/>
    <w:rsid w:val="00D90EDB"/>
    <w:rsid w:val="00D92E61"/>
    <w:rsid w:val="00D94719"/>
    <w:rsid w:val="00D952F6"/>
    <w:rsid w:val="00D96EF8"/>
    <w:rsid w:val="00DA3427"/>
    <w:rsid w:val="00DB429C"/>
    <w:rsid w:val="00DB43B6"/>
    <w:rsid w:val="00DB511B"/>
    <w:rsid w:val="00DD3858"/>
    <w:rsid w:val="00DD3BC3"/>
    <w:rsid w:val="00DD4EC8"/>
    <w:rsid w:val="00DD5E82"/>
    <w:rsid w:val="00DF0EE4"/>
    <w:rsid w:val="00DF16A1"/>
    <w:rsid w:val="00DF18D7"/>
    <w:rsid w:val="00DF3F75"/>
    <w:rsid w:val="00DF4C64"/>
    <w:rsid w:val="00DF7CA0"/>
    <w:rsid w:val="00E00B7B"/>
    <w:rsid w:val="00E02013"/>
    <w:rsid w:val="00E05702"/>
    <w:rsid w:val="00E115D2"/>
    <w:rsid w:val="00E12FC0"/>
    <w:rsid w:val="00E1359D"/>
    <w:rsid w:val="00E14984"/>
    <w:rsid w:val="00E17C72"/>
    <w:rsid w:val="00E20B63"/>
    <w:rsid w:val="00E22806"/>
    <w:rsid w:val="00E23DA5"/>
    <w:rsid w:val="00E23E73"/>
    <w:rsid w:val="00E25044"/>
    <w:rsid w:val="00E2579E"/>
    <w:rsid w:val="00E2648B"/>
    <w:rsid w:val="00E26EF9"/>
    <w:rsid w:val="00E3104D"/>
    <w:rsid w:val="00E32FCC"/>
    <w:rsid w:val="00E3475B"/>
    <w:rsid w:val="00E411B0"/>
    <w:rsid w:val="00E449A9"/>
    <w:rsid w:val="00E45D70"/>
    <w:rsid w:val="00E46A28"/>
    <w:rsid w:val="00E522B2"/>
    <w:rsid w:val="00E553D5"/>
    <w:rsid w:val="00E62024"/>
    <w:rsid w:val="00E622F5"/>
    <w:rsid w:val="00E73668"/>
    <w:rsid w:val="00E740F7"/>
    <w:rsid w:val="00E75593"/>
    <w:rsid w:val="00E82123"/>
    <w:rsid w:val="00E82960"/>
    <w:rsid w:val="00E82A36"/>
    <w:rsid w:val="00E83B9C"/>
    <w:rsid w:val="00EA2AD2"/>
    <w:rsid w:val="00EA2B29"/>
    <w:rsid w:val="00EA4BEE"/>
    <w:rsid w:val="00EB1199"/>
    <w:rsid w:val="00EB2FDA"/>
    <w:rsid w:val="00EB45DC"/>
    <w:rsid w:val="00EB51AF"/>
    <w:rsid w:val="00EB5FDA"/>
    <w:rsid w:val="00EB6582"/>
    <w:rsid w:val="00EB7A87"/>
    <w:rsid w:val="00EC146F"/>
    <w:rsid w:val="00EC40AA"/>
    <w:rsid w:val="00EC5D70"/>
    <w:rsid w:val="00EC5DE4"/>
    <w:rsid w:val="00ED0D6A"/>
    <w:rsid w:val="00ED495F"/>
    <w:rsid w:val="00EE023F"/>
    <w:rsid w:val="00EE3DF7"/>
    <w:rsid w:val="00EF12CD"/>
    <w:rsid w:val="00EF3277"/>
    <w:rsid w:val="00EF334C"/>
    <w:rsid w:val="00EF587C"/>
    <w:rsid w:val="00F075B6"/>
    <w:rsid w:val="00F101C3"/>
    <w:rsid w:val="00F11E4E"/>
    <w:rsid w:val="00F14442"/>
    <w:rsid w:val="00F1755C"/>
    <w:rsid w:val="00F23FB2"/>
    <w:rsid w:val="00F2440A"/>
    <w:rsid w:val="00F262F4"/>
    <w:rsid w:val="00F26F88"/>
    <w:rsid w:val="00F27837"/>
    <w:rsid w:val="00F32896"/>
    <w:rsid w:val="00F42965"/>
    <w:rsid w:val="00F44FE7"/>
    <w:rsid w:val="00F511E2"/>
    <w:rsid w:val="00F53F7E"/>
    <w:rsid w:val="00F54AAE"/>
    <w:rsid w:val="00F55C67"/>
    <w:rsid w:val="00F55CF7"/>
    <w:rsid w:val="00F617E5"/>
    <w:rsid w:val="00F63F71"/>
    <w:rsid w:val="00F653C9"/>
    <w:rsid w:val="00F71C65"/>
    <w:rsid w:val="00F75CFB"/>
    <w:rsid w:val="00F76841"/>
    <w:rsid w:val="00F81277"/>
    <w:rsid w:val="00F818EE"/>
    <w:rsid w:val="00F81D77"/>
    <w:rsid w:val="00F82378"/>
    <w:rsid w:val="00F83641"/>
    <w:rsid w:val="00F9541D"/>
    <w:rsid w:val="00F972CE"/>
    <w:rsid w:val="00FB14B2"/>
    <w:rsid w:val="00FB1556"/>
    <w:rsid w:val="00FB341A"/>
    <w:rsid w:val="00FB39B9"/>
    <w:rsid w:val="00FB7831"/>
    <w:rsid w:val="00FB7B22"/>
    <w:rsid w:val="00FC22F9"/>
    <w:rsid w:val="00FC2A6B"/>
    <w:rsid w:val="00FC3536"/>
    <w:rsid w:val="00FC5AD8"/>
    <w:rsid w:val="00FD0B20"/>
    <w:rsid w:val="00FD100B"/>
    <w:rsid w:val="00FD163A"/>
    <w:rsid w:val="00FD5E6D"/>
    <w:rsid w:val="00FD687A"/>
    <w:rsid w:val="00FE085F"/>
    <w:rsid w:val="03FE2B34"/>
    <w:rsid w:val="0599FB95"/>
    <w:rsid w:val="06070773"/>
    <w:rsid w:val="1B25AB95"/>
    <w:rsid w:val="283241E3"/>
    <w:rsid w:val="2E41B5E8"/>
    <w:rsid w:val="35231EAE"/>
    <w:rsid w:val="3E455640"/>
    <w:rsid w:val="43D2A021"/>
    <w:rsid w:val="4E285CF0"/>
    <w:rsid w:val="50588131"/>
    <w:rsid w:val="54C22B6E"/>
    <w:rsid w:val="6EC70D1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7ADE6"/>
  <w15:chartTrackingRefBased/>
  <w15:docId w15:val="{0AFFE923-1A01-4EA5-94B1-2E140F8D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E7D"/>
    <w:pPr>
      <w:spacing w:after="0" w:line="240" w:lineRule="auto"/>
    </w:pPr>
    <w:rPr>
      <w:rFonts w:ascii="Calibri" w:hAnsi="Calibri" w:cs="Calibri"/>
    </w:rPr>
  </w:style>
  <w:style w:type="paragraph" w:styleId="Heading1">
    <w:name w:val="heading 1"/>
    <w:basedOn w:val="Normal"/>
    <w:next w:val="Normal"/>
    <w:link w:val="Heading1Char"/>
    <w:uiPriority w:val="3"/>
    <w:qFormat/>
    <w:rsid w:val="00415C2B"/>
    <w:pPr>
      <w:keepNext/>
      <w:keepLines/>
      <w:pageBreakBefore/>
      <w:framePr w:w="7088" w:h="3119" w:hRule="exact" w:wrap="around" w:vAnchor="page" w:hAnchor="margin" w:y="568"/>
      <w:spacing w:line="720" w:lineRule="atLeast"/>
      <w:outlineLvl w:val="0"/>
    </w:pPr>
    <w:rPr>
      <w:rFonts w:asciiTheme="majorHAnsi" w:eastAsiaTheme="majorEastAsia" w:hAnsiTheme="majorHAnsi" w:cstheme="majorBidi"/>
      <w:color w:val="4472C4" w:themeColor="accent1"/>
      <w:sz w:val="60"/>
      <w:szCs w:val="32"/>
    </w:rPr>
  </w:style>
  <w:style w:type="paragraph" w:styleId="Heading2">
    <w:name w:val="heading 2"/>
    <w:basedOn w:val="Normal"/>
    <w:next w:val="Normal"/>
    <w:link w:val="Heading2Char"/>
    <w:uiPriority w:val="9"/>
    <w:semiHidden/>
    <w:unhideWhenUsed/>
    <w:qFormat/>
    <w:rsid w:val="009048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7D"/>
    <w:rPr>
      <w:rFonts w:ascii="Segoe UI" w:hAnsi="Segoe UI" w:cs="Segoe UI"/>
      <w:sz w:val="18"/>
      <w:szCs w:val="18"/>
    </w:rPr>
  </w:style>
  <w:style w:type="paragraph" w:styleId="ListParagraph">
    <w:name w:val="List Paragraph"/>
    <w:basedOn w:val="Normal"/>
    <w:uiPriority w:val="34"/>
    <w:qFormat/>
    <w:rsid w:val="003B3E7D"/>
    <w:pPr>
      <w:ind w:left="720"/>
    </w:pPr>
  </w:style>
  <w:style w:type="character" w:customStyle="1" w:styleId="TTHovesMedium">
    <w:name w:val="TT Hoves Medium"/>
    <w:basedOn w:val="DefaultParagraphFont"/>
    <w:uiPriority w:val="2"/>
    <w:qFormat/>
    <w:rsid w:val="00415C2B"/>
    <w:rPr>
      <w:rFonts w:asciiTheme="majorHAnsi" w:hAnsiTheme="majorHAnsi"/>
    </w:rPr>
  </w:style>
  <w:style w:type="character" w:customStyle="1" w:styleId="Heading1Char">
    <w:name w:val="Heading 1 Char"/>
    <w:basedOn w:val="DefaultParagraphFont"/>
    <w:link w:val="Heading1"/>
    <w:uiPriority w:val="3"/>
    <w:rsid w:val="00415C2B"/>
    <w:rPr>
      <w:rFonts w:asciiTheme="majorHAnsi" w:eastAsiaTheme="majorEastAsia" w:hAnsiTheme="majorHAnsi" w:cstheme="majorBidi"/>
      <w:color w:val="4472C4" w:themeColor="accent1"/>
      <w:sz w:val="60"/>
      <w:szCs w:val="32"/>
    </w:rPr>
  </w:style>
  <w:style w:type="table" w:customStyle="1" w:styleId="IsioDarkHeader">
    <w:name w:val="Isio Dark Header"/>
    <w:basedOn w:val="TableNormal"/>
    <w:uiPriority w:val="99"/>
    <w:rsid w:val="00415C2B"/>
    <w:pPr>
      <w:spacing w:after="0" w:line="240" w:lineRule="auto"/>
    </w:pPr>
    <w:rPr>
      <w:color w:val="000000" w:themeColor="text1"/>
      <w:sz w:val="19"/>
      <w:szCs w:val="19"/>
    </w:rPr>
    <w:tblPr>
      <w:tblBorders>
        <w:bottom w:val="single" w:sz="8" w:space="0" w:color="44546A" w:themeColor="text2"/>
        <w:insideH w:val="single" w:sz="4" w:space="0" w:color="44546A" w:themeColor="text2"/>
      </w:tblBorders>
      <w:tblCellMar>
        <w:top w:w="43" w:type="dxa"/>
        <w:left w:w="85" w:type="dxa"/>
        <w:bottom w:w="43" w:type="dxa"/>
        <w:right w:w="85" w:type="dxa"/>
      </w:tblCellMar>
    </w:tblPr>
    <w:tblStylePr w:type="firstRow">
      <w:rPr>
        <w:rFonts w:asciiTheme="majorHAnsi" w:hAnsiTheme="majorHAnsi"/>
        <w:color w:val="FFFFFF" w:themeColor="background1"/>
      </w:rPr>
      <w:tblPr/>
      <w:tcPr>
        <w:tcBorders>
          <w:top w:val="nil"/>
          <w:left w:val="nil"/>
          <w:bottom w:val="single" w:sz="4" w:space="0" w:color="4472C4" w:themeColor="accent1"/>
          <w:right w:val="nil"/>
          <w:insideH w:val="nil"/>
          <w:insideV w:val="nil"/>
          <w:tl2br w:val="nil"/>
          <w:tr2bl w:val="nil"/>
        </w:tcBorders>
        <w:shd w:val="clear" w:color="auto" w:fill="4472C4" w:themeFill="accent1"/>
      </w:tcPr>
    </w:tblStylePr>
    <w:tblStylePr w:type="lastRow">
      <w:rPr>
        <w:rFonts w:asciiTheme="majorHAnsi" w:hAnsiTheme="majorHAnsi"/>
      </w:rPr>
      <w:tblPr/>
      <w:tcPr>
        <w:tcBorders>
          <w:top w:val="single" w:sz="8" w:space="0" w:color="44546A" w:themeColor="text2"/>
          <w:left w:val="nil"/>
          <w:bottom w:val="single" w:sz="8" w:space="0" w:color="44546A" w:themeColor="text2"/>
          <w:right w:val="nil"/>
          <w:insideH w:val="nil"/>
          <w:insideV w:val="nil"/>
          <w:tl2br w:val="nil"/>
          <w:tr2bl w:val="nil"/>
        </w:tcBorders>
      </w:tcPr>
    </w:tblStylePr>
  </w:style>
  <w:style w:type="paragraph" w:customStyle="1" w:styleId="Normal6ptafter">
    <w:name w:val="Normal 6pt after"/>
    <w:basedOn w:val="Normal"/>
    <w:uiPriority w:val="1"/>
    <w:qFormat/>
    <w:rsid w:val="00415C2B"/>
    <w:pPr>
      <w:spacing w:after="120" w:line="240" w:lineRule="atLeast"/>
    </w:pPr>
    <w:rPr>
      <w:rFonts w:asciiTheme="minorHAnsi" w:hAnsiTheme="minorHAnsi" w:cstheme="minorBidi"/>
      <w:color w:val="000000" w:themeColor="text1"/>
      <w:sz w:val="19"/>
      <w:szCs w:val="19"/>
    </w:rPr>
  </w:style>
  <w:style w:type="character" w:styleId="CommentReference">
    <w:name w:val="annotation reference"/>
    <w:basedOn w:val="DefaultParagraphFont"/>
    <w:uiPriority w:val="99"/>
    <w:semiHidden/>
    <w:unhideWhenUsed/>
    <w:rsid w:val="0090487A"/>
    <w:rPr>
      <w:sz w:val="16"/>
      <w:szCs w:val="16"/>
    </w:rPr>
  </w:style>
  <w:style w:type="paragraph" w:styleId="CommentText">
    <w:name w:val="annotation text"/>
    <w:basedOn w:val="Normal"/>
    <w:link w:val="CommentTextChar"/>
    <w:uiPriority w:val="99"/>
    <w:unhideWhenUsed/>
    <w:rsid w:val="0090487A"/>
    <w:pPr>
      <w:spacing w:after="240"/>
    </w:pPr>
    <w:rPr>
      <w:rFonts w:asciiTheme="minorHAnsi" w:hAnsiTheme="minorHAnsi" w:cstheme="minorBidi"/>
      <w:color w:val="000000" w:themeColor="text1"/>
      <w:sz w:val="20"/>
      <w:szCs w:val="20"/>
    </w:rPr>
  </w:style>
  <w:style w:type="character" w:customStyle="1" w:styleId="CommentTextChar">
    <w:name w:val="Comment Text Char"/>
    <w:basedOn w:val="DefaultParagraphFont"/>
    <w:link w:val="CommentText"/>
    <w:uiPriority w:val="99"/>
    <w:rsid w:val="0090487A"/>
    <w:rPr>
      <w:color w:val="000000" w:themeColor="text1"/>
      <w:sz w:val="20"/>
      <w:szCs w:val="20"/>
    </w:rPr>
  </w:style>
  <w:style w:type="character" w:customStyle="1" w:styleId="Heading2Char">
    <w:name w:val="Heading 2 Char"/>
    <w:basedOn w:val="DefaultParagraphFont"/>
    <w:link w:val="Heading2"/>
    <w:uiPriority w:val="9"/>
    <w:semiHidden/>
    <w:rsid w:val="0090487A"/>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DD3BC3"/>
    <w:pPr>
      <w:spacing w:after="0"/>
    </w:pPr>
    <w:rPr>
      <w:rFonts w:ascii="Calibri" w:hAnsi="Calibri" w:cs="Calibri"/>
      <w:b/>
      <w:bCs/>
      <w:color w:val="auto"/>
    </w:rPr>
  </w:style>
  <w:style w:type="character" w:customStyle="1" w:styleId="CommentSubjectChar">
    <w:name w:val="Comment Subject Char"/>
    <w:basedOn w:val="CommentTextChar"/>
    <w:link w:val="CommentSubject"/>
    <w:uiPriority w:val="99"/>
    <w:semiHidden/>
    <w:rsid w:val="00DD3BC3"/>
    <w:rPr>
      <w:rFonts w:ascii="Calibri" w:hAnsi="Calibri" w:cs="Calibri"/>
      <w:b/>
      <w:bCs/>
      <w:color w:val="000000" w:themeColor="text1"/>
      <w:sz w:val="20"/>
      <w:szCs w:val="20"/>
    </w:rPr>
  </w:style>
  <w:style w:type="paragraph" w:styleId="Revision">
    <w:name w:val="Revision"/>
    <w:hidden/>
    <w:uiPriority w:val="99"/>
    <w:semiHidden/>
    <w:rsid w:val="00DD3BC3"/>
    <w:pPr>
      <w:spacing w:after="0" w:line="240" w:lineRule="auto"/>
    </w:pPr>
    <w:rPr>
      <w:rFonts w:ascii="Calibri" w:hAnsi="Calibri" w:cs="Calibri"/>
    </w:rPr>
  </w:style>
  <w:style w:type="paragraph" w:styleId="Header">
    <w:name w:val="header"/>
    <w:basedOn w:val="Normal"/>
    <w:link w:val="HeaderChar"/>
    <w:uiPriority w:val="99"/>
    <w:unhideWhenUsed/>
    <w:rsid w:val="000510E8"/>
    <w:pPr>
      <w:tabs>
        <w:tab w:val="center" w:pos="4513"/>
        <w:tab w:val="right" w:pos="9026"/>
      </w:tabs>
    </w:pPr>
  </w:style>
  <w:style w:type="character" w:customStyle="1" w:styleId="HeaderChar">
    <w:name w:val="Header Char"/>
    <w:basedOn w:val="DefaultParagraphFont"/>
    <w:link w:val="Header"/>
    <w:uiPriority w:val="99"/>
    <w:rsid w:val="000510E8"/>
    <w:rPr>
      <w:rFonts w:ascii="Calibri" w:hAnsi="Calibri" w:cs="Calibri"/>
    </w:rPr>
  </w:style>
  <w:style w:type="paragraph" w:styleId="Footer">
    <w:name w:val="footer"/>
    <w:basedOn w:val="Normal"/>
    <w:link w:val="FooterChar"/>
    <w:uiPriority w:val="99"/>
    <w:unhideWhenUsed/>
    <w:rsid w:val="000510E8"/>
    <w:pPr>
      <w:tabs>
        <w:tab w:val="center" w:pos="4513"/>
        <w:tab w:val="right" w:pos="9026"/>
      </w:tabs>
    </w:pPr>
  </w:style>
  <w:style w:type="character" w:customStyle="1" w:styleId="FooterChar">
    <w:name w:val="Footer Char"/>
    <w:basedOn w:val="DefaultParagraphFont"/>
    <w:link w:val="Footer"/>
    <w:uiPriority w:val="99"/>
    <w:rsid w:val="000510E8"/>
    <w:rPr>
      <w:rFonts w:ascii="Calibri" w:hAnsi="Calibri" w:cs="Calibri"/>
    </w:rPr>
  </w:style>
  <w:style w:type="character" w:styleId="Hyperlink">
    <w:name w:val="Hyperlink"/>
    <w:basedOn w:val="DefaultParagraphFont"/>
    <w:uiPriority w:val="99"/>
    <w:unhideWhenUsed/>
    <w:rsid w:val="00F63F71"/>
    <w:rPr>
      <w:color w:val="0563C1" w:themeColor="hyperlink"/>
      <w:u w:val="single"/>
    </w:rPr>
  </w:style>
  <w:style w:type="character" w:styleId="UnresolvedMention">
    <w:name w:val="Unresolved Mention"/>
    <w:basedOn w:val="DefaultParagraphFont"/>
    <w:uiPriority w:val="99"/>
    <w:semiHidden/>
    <w:unhideWhenUsed/>
    <w:rsid w:val="00F63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37819">
      <w:bodyDiv w:val="1"/>
      <w:marLeft w:val="0"/>
      <w:marRight w:val="0"/>
      <w:marTop w:val="0"/>
      <w:marBottom w:val="0"/>
      <w:divBdr>
        <w:top w:val="none" w:sz="0" w:space="0" w:color="auto"/>
        <w:left w:val="none" w:sz="0" w:space="0" w:color="auto"/>
        <w:bottom w:val="none" w:sz="0" w:space="0" w:color="auto"/>
        <w:right w:val="none" w:sz="0" w:space="0" w:color="auto"/>
      </w:divBdr>
    </w:div>
    <w:div w:id="1052388548">
      <w:bodyDiv w:val="1"/>
      <w:marLeft w:val="0"/>
      <w:marRight w:val="0"/>
      <w:marTop w:val="0"/>
      <w:marBottom w:val="0"/>
      <w:divBdr>
        <w:top w:val="none" w:sz="0" w:space="0" w:color="auto"/>
        <w:left w:val="none" w:sz="0" w:space="0" w:color="auto"/>
        <w:bottom w:val="none" w:sz="0" w:space="0" w:color="auto"/>
        <w:right w:val="none" w:sz="0" w:space="0" w:color="auto"/>
      </w:divBdr>
    </w:div>
    <w:div w:id="2070496584">
      <w:bodyDiv w:val="1"/>
      <w:marLeft w:val="0"/>
      <w:marRight w:val="0"/>
      <w:marTop w:val="0"/>
      <w:marBottom w:val="0"/>
      <w:divBdr>
        <w:top w:val="none" w:sz="0" w:space="0" w:color="auto"/>
        <w:left w:val="none" w:sz="0" w:space="0" w:color="auto"/>
        <w:bottom w:val="none" w:sz="0" w:space="0" w:color="auto"/>
        <w:right w:val="none" w:sz="0" w:space="0" w:color="auto"/>
      </w:divBdr>
    </w:div>
    <w:div w:id="213378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36a440e-2401-402d-9cc4-7271766543bc"/>
    <TaxKeywordTaxHTField xmlns="836a440e-2401-402d-9cc4-7271766543bc">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A2CAEAFAB64B499A29D4DB07E1E9AC" ma:contentTypeVersion="12" ma:contentTypeDescription="Create a new document." ma:contentTypeScope="" ma:versionID="4ab16cf8c4e273b268229e9ce18b802b">
  <xsd:schema xmlns:xsd="http://www.w3.org/2001/XMLSchema" xmlns:xs="http://www.w3.org/2001/XMLSchema" xmlns:p="http://schemas.microsoft.com/office/2006/metadata/properties" xmlns:ns2="836a440e-2401-402d-9cc4-7271766543bc" xmlns:ns3="bc48bec2-de5c-4618-abc6-d5fe5db72a07" targetNamespace="http://schemas.microsoft.com/office/2006/metadata/properties" ma:root="true" ma:fieldsID="b7b70a51f154b84b1b2f6213c7b9e847" ns2:_="" ns3:_="">
    <xsd:import namespace="836a440e-2401-402d-9cc4-7271766543bc"/>
    <xsd:import namespace="bc48bec2-de5c-4618-abc6-d5fe5db72a07"/>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a440e-2401-402d-9cc4-7271766543b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e44d475-307a-44ca-be01-935d19178b1a"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3c023f4-c401-4d80-b796-153a5546ea7f}" ma:internalName="TaxCatchAll" ma:showField="CatchAllData" ma:web="836a440e-2401-402d-9cc4-7271766543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48bec2-de5c-4618-abc6-d5fe5db72a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F6C810-EBB1-4921-B6E0-8E9B06AF8DFF}">
  <ds:schemaRefs>
    <ds:schemaRef ds:uri="http://schemas.microsoft.com/sharepoint/v3/contenttype/forms"/>
  </ds:schemaRefs>
</ds:datastoreItem>
</file>

<file path=customXml/itemProps2.xml><?xml version="1.0" encoding="utf-8"?>
<ds:datastoreItem xmlns:ds="http://schemas.openxmlformats.org/officeDocument/2006/customXml" ds:itemID="{A5D1F518-1E51-4B44-9459-888843C28348}">
  <ds:schemaRefs>
    <ds:schemaRef ds:uri="http://schemas.microsoft.com/office/2006/metadata/properties"/>
    <ds:schemaRef ds:uri="http://schemas.microsoft.com/office/infopath/2007/PartnerControls"/>
    <ds:schemaRef ds:uri="836a440e-2401-402d-9cc4-7271766543bc"/>
  </ds:schemaRefs>
</ds:datastoreItem>
</file>

<file path=customXml/itemProps3.xml><?xml version="1.0" encoding="utf-8"?>
<ds:datastoreItem xmlns:ds="http://schemas.openxmlformats.org/officeDocument/2006/customXml" ds:itemID="{689068CF-B89C-4FD0-90B0-C3738A19E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a440e-2401-402d-9cc4-7271766543bc"/>
    <ds:schemaRef ds:uri="bc48bec2-de5c-4618-abc6-d5fe5db7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Zohrah Yaqub</dc:creator>
  <cp:keywords/>
  <dc:description/>
  <cp:lastModifiedBy>Hannah Francois</cp:lastModifiedBy>
  <cp:revision>3</cp:revision>
  <dcterms:created xsi:type="dcterms:W3CDTF">2021-06-09T19:25:00Z</dcterms:created>
  <dcterms:modified xsi:type="dcterms:W3CDTF">2021-09-09T10:32:00Z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f818868-c01c-44c9-ad71-c3bcd7450a7b_Enabled">
    <vt:lpwstr>true</vt:lpwstr>
  </property>
  <property fmtid="{D5CDD505-2E9C-101B-9397-08002B2CF9AE}" pid="3" name="MSIP_Label_df818868-c01c-44c9-ad71-c3bcd7450a7b_SetDate">
    <vt:lpwstr>2020-10-26T15:32:56Z</vt:lpwstr>
  </property>
  <property fmtid="{D5CDD505-2E9C-101B-9397-08002B2CF9AE}" pid="4" name="MSIP_Label_df818868-c01c-44c9-ad71-c3bcd7450a7b_Method">
    <vt:lpwstr>Standard</vt:lpwstr>
  </property>
  <property fmtid="{D5CDD505-2E9C-101B-9397-08002B2CF9AE}" pid="5" name="MSIP_Label_df818868-c01c-44c9-ad71-c3bcd7450a7b_Name">
    <vt:lpwstr>Confidential Anyone</vt:lpwstr>
  </property>
  <property fmtid="{D5CDD505-2E9C-101B-9397-08002B2CF9AE}" pid="6" name="MSIP_Label_df818868-c01c-44c9-ad71-c3bcd7450a7b_SiteId">
    <vt:lpwstr>ab764745-f919-47d0-8e21-f242e4ad7ebf</vt:lpwstr>
  </property>
  <property fmtid="{D5CDD505-2E9C-101B-9397-08002B2CF9AE}" pid="7" name="MSIP_Label_df818868-c01c-44c9-ad71-c3bcd7450a7b_ActionId">
    <vt:lpwstr>87c10a6f-92bc-4ab7-adff-d35bd417157b</vt:lpwstr>
  </property>
  <property fmtid="{D5CDD505-2E9C-101B-9397-08002B2CF9AE}" pid="8" name="MSIP_Label_df818868-c01c-44c9-ad71-c3bcd7450a7b_ContentBits">
    <vt:lpwstr>0</vt:lpwstr>
  </property>
  <property fmtid="{D5CDD505-2E9C-101B-9397-08002B2CF9AE}" pid="9" name="ContentTypeId">
    <vt:lpwstr>0x0101001CA2CAEAFAB64B499A29D4DB07E1E9AC</vt:lpwstr>
  </property>
  <property fmtid="{D5CDD505-2E9C-101B-9397-08002B2CF9AE}" pid="10" name="TaxKeyword">
    <vt:lpwstr/>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ies>
</file>