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5D453" w14:textId="47AD8CFE" w:rsidR="003B3E7D" w:rsidRPr="00415C2B" w:rsidRDefault="003B3E7D" w:rsidP="00191EB4">
      <w:pPr>
        <w:spacing w:before="120" w:after="120"/>
        <w:jc w:val="center"/>
        <w:rPr>
          <w:rFonts w:ascii="TT Hoves Medium" w:hAnsi="TT Hoves Medium"/>
          <w:sz w:val="20"/>
          <w:szCs w:val="20"/>
          <w:u w:val="single"/>
        </w:rPr>
      </w:pPr>
      <w:r w:rsidRPr="00415C2B">
        <w:rPr>
          <w:rFonts w:ascii="TT Hoves Medium" w:hAnsi="TT Hoves Medium" w:cs="Arial"/>
          <w:sz w:val="20"/>
          <w:szCs w:val="20"/>
          <w:u w:val="single"/>
        </w:rPr>
        <w:t xml:space="preserve">Implementation Statement for the year to </w:t>
      </w:r>
      <w:r w:rsidRPr="00AE068E">
        <w:rPr>
          <w:rFonts w:ascii="TT Hoves Medium" w:hAnsi="TT Hoves Medium" w:cs="Arial"/>
          <w:sz w:val="20"/>
          <w:szCs w:val="20"/>
          <w:u w:val="single"/>
        </w:rPr>
        <w:t>31 March 202</w:t>
      </w:r>
      <w:r w:rsidR="00252C54">
        <w:rPr>
          <w:rFonts w:ascii="TT Hoves Medium" w:hAnsi="TT Hoves Medium" w:cs="Arial"/>
          <w:sz w:val="20"/>
          <w:szCs w:val="20"/>
          <w:u w:val="single"/>
        </w:rPr>
        <w:t>1</w:t>
      </w:r>
    </w:p>
    <w:p w14:paraId="27FF6A8A" w14:textId="295B2752" w:rsidR="003B3E7D" w:rsidRPr="00415C2B" w:rsidRDefault="003B3E7D" w:rsidP="00191EB4">
      <w:pPr>
        <w:spacing w:before="120" w:after="120"/>
        <w:jc w:val="center"/>
        <w:rPr>
          <w:rFonts w:ascii="TT Hoves Medium" w:hAnsi="TT Hoves Medium"/>
          <w:sz w:val="20"/>
          <w:szCs w:val="20"/>
          <w:u w:val="single"/>
        </w:rPr>
      </w:pPr>
      <w:r w:rsidRPr="00415C2B">
        <w:rPr>
          <w:rFonts w:ascii="TT Hoves Medium" w:hAnsi="TT Hoves Medium" w:cs="Arial"/>
          <w:sz w:val="20"/>
          <w:szCs w:val="20"/>
          <w:u w:val="single"/>
        </w:rPr>
        <w:t>Hampden Group plc Pension Scheme</w:t>
      </w:r>
      <w:r w:rsidR="00191EB4">
        <w:rPr>
          <w:rFonts w:ascii="TT Hoves Medium" w:hAnsi="TT Hoves Medium" w:cs="Arial"/>
          <w:sz w:val="20"/>
          <w:szCs w:val="20"/>
          <w:u w:val="single"/>
        </w:rPr>
        <w:t xml:space="preserve"> (‘the Scheme’)</w:t>
      </w:r>
    </w:p>
    <w:p w14:paraId="0CA709AD" w14:textId="77777777" w:rsidR="003B3E7D" w:rsidRPr="00415C2B" w:rsidRDefault="003B3E7D" w:rsidP="007315F1">
      <w:pPr>
        <w:spacing w:line="276" w:lineRule="auto"/>
        <w:contextualSpacing/>
        <w:rPr>
          <w:rFonts w:ascii="TT Hoves Medium" w:eastAsia="Times New Roman" w:hAnsi="TT Hoves Medium"/>
          <w:sz w:val="20"/>
          <w:szCs w:val="20"/>
        </w:rPr>
      </w:pPr>
      <w:r w:rsidRPr="00415C2B">
        <w:rPr>
          <w:rFonts w:ascii="TT Hoves Medium" w:eastAsia="Times New Roman" w:hAnsi="TT Hoves Medium" w:cs="Arial"/>
          <w:sz w:val="20"/>
          <w:szCs w:val="20"/>
        </w:rPr>
        <w:t xml:space="preserve">Introduction </w:t>
      </w:r>
    </w:p>
    <w:p w14:paraId="7F2AE7A5" w14:textId="3EDFCC59" w:rsidR="003B3E7D" w:rsidRPr="00415C2B" w:rsidRDefault="003B3E7D" w:rsidP="007315F1">
      <w:pPr>
        <w:spacing w:before="120" w:after="120"/>
        <w:rPr>
          <w:rFonts w:ascii="TT Hoves Light" w:hAnsi="TT Hoves Light"/>
        </w:rPr>
      </w:pPr>
      <w:r w:rsidRPr="00415C2B">
        <w:rPr>
          <w:rFonts w:ascii="TT Hoves Light" w:hAnsi="TT Hoves Light" w:cs="Arial"/>
          <w:sz w:val="20"/>
          <w:szCs w:val="20"/>
        </w:rPr>
        <w:t xml:space="preserve">This statement describes the </w:t>
      </w:r>
      <w:r w:rsidRPr="00CB5CB5">
        <w:rPr>
          <w:rFonts w:ascii="TT Hoves Light" w:hAnsi="TT Hoves Light" w:cs="Arial"/>
          <w:sz w:val="20"/>
          <w:szCs w:val="20"/>
        </w:rPr>
        <w:t>voting and engagement policies</w:t>
      </w:r>
      <w:r w:rsidRPr="00415C2B">
        <w:rPr>
          <w:rFonts w:ascii="TT Hoves Light" w:hAnsi="TT Hoves Light" w:cs="Arial"/>
          <w:color w:val="FF0000"/>
          <w:sz w:val="20"/>
          <w:szCs w:val="20"/>
        </w:rPr>
        <w:t xml:space="preserve"> </w:t>
      </w:r>
      <w:r w:rsidRPr="00415C2B">
        <w:rPr>
          <w:rFonts w:ascii="TT Hoves Light" w:hAnsi="TT Hoves Light" w:cs="Arial"/>
          <w:sz w:val="20"/>
          <w:szCs w:val="20"/>
        </w:rPr>
        <w:t xml:space="preserve">of Entrust Pension Limited </w:t>
      </w:r>
      <w:r w:rsidRPr="00415C2B">
        <w:rPr>
          <w:rFonts w:ascii="TT Hoves Light" w:hAnsi="TT Hoves Light" w:cs="Arial"/>
          <w:color w:val="000000"/>
          <w:sz w:val="20"/>
          <w:szCs w:val="20"/>
        </w:rPr>
        <w:t>as</w:t>
      </w:r>
      <w:r w:rsidRPr="00415C2B">
        <w:rPr>
          <w:rFonts w:ascii="TT Hoves Light" w:hAnsi="TT Hoves Light" w:cs="Arial"/>
          <w:sz w:val="20"/>
          <w:szCs w:val="20"/>
        </w:rPr>
        <w:t xml:space="preserve"> Trustee of the Scheme (the Trustee) along with a summary of voting and engagement behaviour related to the Scheme’s investments over the 12-month period to </w:t>
      </w:r>
      <w:r w:rsidRPr="00AE068E">
        <w:rPr>
          <w:rFonts w:ascii="TT Hoves Light" w:hAnsi="TT Hoves Light" w:cs="Arial"/>
          <w:sz w:val="20"/>
          <w:szCs w:val="20"/>
        </w:rPr>
        <w:t>31 March 202</w:t>
      </w:r>
      <w:r w:rsidR="00B67C00">
        <w:rPr>
          <w:rFonts w:ascii="TT Hoves Light" w:hAnsi="TT Hoves Light" w:cs="Arial"/>
          <w:sz w:val="20"/>
          <w:szCs w:val="20"/>
        </w:rPr>
        <w:t>1</w:t>
      </w:r>
      <w:r w:rsidRPr="00415C2B">
        <w:rPr>
          <w:rFonts w:ascii="TT Hoves Light" w:hAnsi="TT Hoves Light" w:cs="Arial"/>
          <w:sz w:val="20"/>
          <w:szCs w:val="20"/>
        </w:rPr>
        <w:t>.</w:t>
      </w:r>
    </w:p>
    <w:p w14:paraId="2C058ED1" w14:textId="23BEB9E5" w:rsidR="003B3E7D" w:rsidRPr="00415C2B" w:rsidRDefault="003B3E7D" w:rsidP="007315F1">
      <w:pPr>
        <w:pStyle w:val="ListParagraph"/>
        <w:ind w:left="0"/>
        <w:rPr>
          <w:rFonts w:ascii="TT Hoves Light" w:hAnsi="TT Hoves Light" w:cs="Arial"/>
          <w:color w:val="000000"/>
          <w:sz w:val="20"/>
          <w:szCs w:val="20"/>
        </w:rPr>
      </w:pPr>
      <w:r w:rsidRPr="00415C2B">
        <w:rPr>
          <w:rFonts w:ascii="TT Hoves Light" w:hAnsi="TT Hoves Light" w:cs="Arial"/>
          <w:color w:val="000000"/>
          <w:sz w:val="20"/>
          <w:szCs w:val="20"/>
        </w:rPr>
        <w:t xml:space="preserve">This Implementation Report is to provide evidence that the </w:t>
      </w:r>
      <w:r w:rsidRPr="002F75D0">
        <w:rPr>
          <w:rFonts w:ascii="TT Hoves Light" w:hAnsi="TT Hoves Light" w:cs="Arial"/>
          <w:sz w:val="20"/>
          <w:szCs w:val="20"/>
        </w:rPr>
        <w:t xml:space="preserve">Scheme continues to follow and act on the principles outlined in the </w:t>
      </w:r>
      <w:r w:rsidRPr="00415C2B">
        <w:rPr>
          <w:rFonts w:ascii="TT Hoves Light" w:hAnsi="TT Hoves Light" w:cs="Arial"/>
          <w:sz w:val="20"/>
          <w:szCs w:val="20"/>
        </w:rPr>
        <w:t>Statement of Investment Principles</w:t>
      </w:r>
      <w:r w:rsidR="00E11CCF">
        <w:rPr>
          <w:rFonts w:ascii="TT Hoves Light" w:hAnsi="TT Hoves Light" w:cs="Arial"/>
          <w:sz w:val="20"/>
          <w:szCs w:val="20"/>
        </w:rPr>
        <w:t xml:space="preserve"> (‘the SIP’)</w:t>
      </w:r>
      <w:r w:rsidRPr="00415C2B">
        <w:rPr>
          <w:rFonts w:ascii="TT Hoves Light" w:hAnsi="TT Hoves Light" w:cs="Arial"/>
          <w:sz w:val="20"/>
          <w:szCs w:val="20"/>
        </w:rPr>
        <w:t xml:space="preserve"> </w:t>
      </w:r>
      <w:r w:rsidRPr="00D15CE8">
        <w:rPr>
          <w:rFonts w:ascii="TT Hoves Light" w:hAnsi="TT Hoves Light" w:cs="Arial"/>
          <w:sz w:val="20"/>
          <w:szCs w:val="20"/>
        </w:rPr>
        <w:t xml:space="preserve">dated </w:t>
      </w:r>
      <w:r w:rsidR="002F75D0" w:rsidRPr="00D15CE8">
        <w:rPr>
          <w:rFonts w:ascii="TT Hoves Light" w:hAnsi="TT Hoves Light" w:cs="Arial"/>
          <w:sz w:val="20"/>
          <w:szCs w:val="20"/>
        </w:rPr>
        <w:t>30 September 2019</w:t>
      </w:r>
      <w:r w:rsidR="00E11CCF">
        <w:rPr>
          <w:rFonts w:ascii="TT Hoves Light" w:hAnsi="TT Hoves Light" w:cs="Arial"/>
          <w:sz w:val="20"/>
          <w:szCs w:val="20"/>
        </w:rPr>
        <w:t xml:space="preserve"> and subsequently 6 July 2020</w:t>
      </w:r>
      <w:r w:rsidRPr="00415C2B">
        <w:rPr>
          <w:rFonts w:ascii="TT Hoves Light" w:hAnsi="TT Hoves Light" w:cs="Arial"/>
          <w:sz w:val="20"/>
          <w:szCs w:val="20"/>
        </w:rPr>
        <w:t xml:space="preserve">. </w:t>
      </w:r>
      <w:r w:rsidRPr="00415C2B">
        <w:rPr>
          <w:rFonts w:ascii="TT Hoves Light" w:hAnsi="TT Hoves Light" w:cs="Arial"/>
          <w:color w:val="000000"/>
          <w:sz w:val="20"/>
          <w:szCs w:val="20"/>
        </w:rPr>
        <w:t>This report details:</w:t>
      </w:r>
    </w:p>
    <w:p w14:paraId="57B52AF9" w14:textId="77777777" w:rsidR="003B3E7D" w:rsidRPr="00415C2B" w:rsidRDefault="003B3E7D" w:rsidP="007315F1">
      <w:pPr>
        <w:pStyle w:val="ListParagraph"/>
        <w:ind w:left="0"/>
        <w:rPr>
          <w:rFonts w:ascii="TT Hoves Light" w:hAnsi="TT Hoves Light"/>
        </w:rPr>
      </w:pPr>
    </w:p>
    <w:p w14:paraId="6C44B4BA" w14:textId="41BD77FD" w:rsidR="003B3E7D" w:rsidRPr="00415C2B" w:rsidRDefault="003B3E7D" w:rsidP="009764A8">
      <w:pPr>
        <w:pStyle w:val="ListParagraph"/>
        <w:numPr>
          <w:ilvl w:val="0"/>
          <w:numId w:val="2"/>
        </w:numPr>
        <w:ind w:left="426" w:hanging="284"/>
        <w:rPr>
          <w:rFonts w:ascii="TT Hoves Light" w:hAnsi="TT Hoves Light" w:cs="Arial"/>
          <w:color w:val="000000"/>
          <w:sz w:val="20"/>
          <w:szCs w:val="20"/>
        </w:rPr>
      </w:pPr>
      <w:r w:rsidRPr="00415C2B">
        <w:rPr>
          <w:rFonts w:ascii="TT Hoves Light" w:hAnsi="TT Hoves Light" w:cs="Arial"/>
          <w:color w:val="000000"/>
          <w:sz w:val="20"/>
          <w:szCs w:val="20"/>
        </w:rPr>
        <w:t xml:space="preserve">Actions the Trustee has taken to manage financially material risks and implement the key policies in its </w:t>
      </w:r>
      <w:proofErr w:type="gramStart"/>
      <w:r w:rsidRPr="00415C2B">
        <w:rPr>
          <w:rFonts w:ascii="TT Hoves Light" w:hAnsi="TT Hoves Light" w:cs="Arial"/>
          <w:color w:val="000000"/>
          <w:sz w:val="20"/>
          <w:szCs w:val="20"/>
        </w:rPr>
        <w:t>SIP</w:t>
      </w:r>
      <w:r w:rsidR="002F522D">
        <w:rPr>
          <w:rFonts w:ascii="TT Hoves Light" w:hAnsi="TT Hoves Light" w:cs="Arial"/>
          <w:color w:val="000000"/>
          <w:sz w:val="20"/>
          <w:szCs w:val="20"/>
        </w:rPr>
        <w:t>;</w:t>
      </w:r>
      <w:proofErr w:type="gramEnd"/>
    </w:p>
    <w:p w14:paraId="22D62461" w14:textId="50500C0F" w:rsidR="003B3E7D" w:rsidRPr="00415C2B" w:rsidRDefault="003B3E7D" w:rsidP="009764A8">
      <w:pPr>
        <w:pStyle w:val="ListParagraph"/>
        <w:numPr>
          <w:ilvl w:val="0"/>
          <w:numId w:val="2"/>
        </w:numPr>
        <w:ind w:left="426" w:hanging="284"/>
        <w:rPr>
          <w:rFonts w:ascii="TT Hoves Light" w:hAnsi="TT Hoves Light"/>
        </w:rPr>
      </w:pPr>
      <w:r w:rsidRPr="00415C2B">
        <w:rPr>
          <w:rFonts w:ascii="TT Hoves Light" w:hAnsi="TT Hoves Light" w:cs="Arial"/>
          <w:color w:val="000000"/>
          <w:sz w:val="20"/>
          <w:szCs w:val="20"/>
        </w:rPr>
        <w:t xml:space="preserve">The current policy and approach with regards to </w:t>
      </w:r>
      <w:r w:rsidRPr="00415C2B">
        <w:rPr>
          <w:rFonts w:ascii="TT Hoves Light" w:hAnsi="TT Hoves Light" w:cs="Arial"/>
          <w:sz w:val="20"/>
          <w:szCs w:val="20"/>
        </w:rPr>
        <w:t xml:space="preserve">Environmental, Social and Governance (ESG) factors </w:t>
      </w:r>
      <w:r w:rsidRPr="00415C2B">
        <w:rPr>
          <w:rFonts w:ascii="TT Hoves Light" w:hAnsi="TT Hoves Light" w:cs="Arial"/>
          <w:color w:val="000000"/>
          <w:sz w:val="20"/>
          <w:szCs w:val="20"/>
        </w:rPr>
        <w:t>and the actions taken with managers on managing ESG risks</w:t>
      </w:r>
      <w:r w:rsidR="002F522D">
        <w:rPr>
          <w:rFonts w:ascii="TT Hoves Light" w:hAnsi="TT Hoves Light" w:cs="Arial"/>
          <w:color w:val="000000"/>
          <w:sz w:val="20"/>
          <w:szCs w:val="20"/>
        </w:rPr>
        <w:t>; and</w:t>
      </w:r>
    </w:p>
    <w:p w14:paraId="0C3E6ACB" w14:textId="70CD719D" w:rsidR="003B3E7D" w:rsidRPr="00415C2B" w:rsidRDefault="003B3E7D" w:rsidP="009764A8">
      <w:pPr>
        <w:pStyle w:val="ListParagraph"/>
        <w:numPr>
          <w:ilvl w:val="0"/>
          <w:numId w:val="2"/>
        </w:numPr>
        <w:ind w:left="426" w:hanging="284"/>
        <w:rPr>
          <w:rFonts w:ascii="TT Hoves Light" w:hAnsi="TT Hoves Light"/>
        </w:rPr>
      </w:pPr>
      <w:r w:rsidRPr="00415C2B">
        <w:rPr>
          <w:rFonts w:ascii="TT Hoves Light" w:hAnsi="TT Hoves Light" w:cs="Arial"/>
          <w:color w:val="000000"/>
          <w:sz w:val="20"/>
          <w:szCs w:val="20"/>
        </w:rPr>
        <w:t xml:space="preserve">The extent to which the Trustee has followed policies on engagement, covering engagement actions with its fund managers and in turn the engagement activity of the fund managers with the companies </w:t>
      </w:r>
      <w:r w:rsidR="002F522D">
        <w:rPr>
          <w:rFonts w:ascii="TT Hoves Light" w:hAnsi="TT Hoves Light" w:cs="Arial"/>
          <w:color w:val="000000"/>
          <w:sz w:val="20"/>
          <w:szCs w:val="20"/>
        </w:rPr>
        <w:t xml:space="preserve">in which </w:t>
      </w:r>
      <w:r w:rsidRPr="00415C2B">
        <w:rPr>
          <w:rFonts w:ascii="TT Hoves Light" w:hAnsi="TT Hoves Light" w:cs="Arial"/>
          <w:color w:val="000000"/>
          <w:sz w:val="20"/>
          <w:szCs w:val="20"/>
        </w:rPr>
        <w:t>they invest</w:t>
      </w:r>
      <w:r w:rsidR="002F522D">
        <w:rPr>
          <w:rFonts w:ascii="TT Hoves Light" w:hAnsi="TT Hoves Light" w:cs="Arial"/>
          <w:color w:val="000000"/>
          <w:sz w:val="20"/>
          <w:szCs w:val="20"/>
        </w:rPr>
        <w:t>.</w:t>
      </w:r>
    </w:p>
    <w:p w14:paraId="5193A125" w14:textId="77777777" w:rsidR="003B3E7D" w:rsidRPr="00415C2B" w:rsidRDefault="003B3E7D" w:rsidP="007315F1">
      <w:pPr>
        <w:pStyle w:val="ListParagraph"/>
        <w:ind w:left="0" w:hanging="720"/>
        <w:rPr>
          <w:rFonts w:ascii="TT Hoves Light" w:hAnsi="TT Hoves Light"/>
        </w:rPr>
      </w:pPr>
      <w:r w:rsidRPr="00415C2B">
        <w:rPr>
          <w:rFonts w:ascii="TT Hoves Light" w:hAnsi="TT Hoves Light" w:cs="Arial"/>
          <w:b/>
          <w:bCs/>
          <w:color w:val="000000"/>
          <w:sz w:val="20"/>
          <w:szCs w:val="20"/>
        </w:rPr>
        <w:t> </w:t>
      </w:r>
    </w:p>
    <w:p w14:paraId="2799F983" w14:textId="7E3432BC" w:rsidR="003B3E7D" w:rsidRDefault="003B3E7D" w:rsidP="007315F1">
      <w:pPr>
        <w:rPr>
          <w:rFonts w:ascii="TT Hoves Medium" w:eastAsia="Times New Roman" w:hAnsi="TT Hoves Medium" w:cs="Arial"/>
          <w:color w:val="000000"/>
          <w:sz w:val="20"/>
          <w:szCs w:val="20"/>
        </w:rPr>
      </w:pPr>
      <w:r w:rsidRPr="00415C2B">
        <w:rPr>
          <w:rFonts w:ascii="TT Hoves Medium" w:eastAsia="Times New Roman" w:hAnsi="TT Hoves Medium" w:cs="Arial"/>
          <w:color w:val="000000"/>
          <w:sz w:val="20"/>
          <w:szCs w:val="20"/>
        </w:rPr>
        <w:t xml:space="preserve">Summary of key actions undertaken over the Scheme reporting year </w:t>
      </w:r>
    </w:p>
    <w:p w14:paraId="25EE53FE" w14:textId="1956F71B" w:rsidR="00B633DE" w:rsidRPr="00B633DE" w:rsidRDefault="00B633DE" w:rsidP="00B633DE">
      <w:pPr>
        <w:pStyle w:val="Normal6ptafter"/>
        <w:rPr>
          <w:rFonts w:ascii="TT Hoves Light" w:hAnsi="TT Hoves Light" w:cs="Arial"/>
          <w:color w:val="000000"/>
          <w:sz w:val="20"/>
          <w:szCs w:val="20"/>
        </w:rPr>
      </w:pPr>
    </w:p>
    <w:p w14:paraId="7D26B83A" w14:textId="0871DCAA" w:rsidR="00162BB1" w:rsidRPr="0019192D" w:rsidRDefault="00B633DE" w:rsidP="0019192D">
      <w:pPr>
        <w:pStyle w:val="Normal6ptafter"/>
        <w:rPr>
          <w:rFonts w:ascii="TT Hoves Light" w:hAnsi="TT Hoves Light" w:cs="Arial"/>
          <w:color w:val="000000"/>
          <w:sz w:val="20"/>
          <w:szCs w:val="20"/>
        </w:rPr>
      </w:pPr>
      <w:r w:rsidRPr="00B633DE">
        <w:rPr>
          <w:rFonts w:ascii="TT Hoves Light" w:hAnsi="TT Hoves Light" w:cs="Arial"/>
          <w:color w:val="000000"/>
          <w:sz w:val="20"/>
          <w:szCs w:val="20"/>
        </w:rPr>
        <w:t>The Scheme implemented a</w:t>
      </w:r>
      <w:r w:rsidR="0059596E">
        <w:rPr>
          <w:rFonts w:ascii="TT Hoves Light" w:hAnsi="TT Hoves Light" w:cs="Arial"/>
          <w:color w:val="000000"/>
          <w:sz w:val="20"/>
          <w:szCs w:val="20"/>
        </w:rPr>
        <w:t xml:space="preserve"> full</w:t>
      </w:r>
      <w:r w:rsidRPr="00B633DE">
        <w:rPr>
          <w:rFonts w:ascii="TT Hoves Light" w:hAnsi="TT Hoves Light" w:cs="Arial"/>
          <w:color w:val="000000"/>
          <w:sz w:val="20"/>
          <w:szCs w:val="20"/>
        </w:rPr>
        <w:t xml:space="preserve"> buy-in </w:t>
      </w:r>
      <w:r w:rsidR="0059596E">
        <w:rPr>
          <w:rFonts w:ascii="TT Hoves Light" w:hAnsi="TT Hoves Light" w:cs="Arial"/>
          <w:color w:val="000000"/>
          <w:sz w:val="20"/>
          <w:szCs w:val="20"/>
        </w:rPr>
        <w:t xml:space="preserve">of the Scheme’s liabilities </w:t>
      </w:r>
      <w:r w:rsidR="006A270A">
        <w:rPr>
          <w:rFonts w:ascii="TT Hoves Light" w:hAnsi="TT Hoves Light" w:cs="Arial"/>
          <w:color w:val="000000"/>
          <w:sz w:val="20"/>
          <w:szCs w:val="20"/>
        </w:rPr>
        <w:t xml:space="preserve">on </w:t>
      </w:r>
      <w:r w:rsidR="00C07171">
        <w:rPr>
          <w:rFonts w:ascii="TT Hoves Light" w:hAnsi="TT Hoves Light" w:cs="Arial"/>
          <w:color w:val="000000"/>
          <w:sz w:val="20"/>
          <w:szCs w:val="20"/>
        </w:rPr>
        <w:t>22</w:t>
      </w:r>
      <w:r w:rsidR="006A270A">
        <w:rPr>
          <w:rFonts w:ascii="TT Hoves Light" w:hAnsi="TT Hoves Light" w:cs="Arial"/>
          <w:color w:val="000000"/>
          <w:sz w:val="20"/>
          <w:szCs w:val="20"/>
        </w:rPr>
        <w:t xml:space="preserve"> June 2020</w:t>
      </w:r>
      <w:r w:rsidRPr="00B633DE">
        <w:rPr>
          <w:rFonts w:ascii="TT Hoves Light" w:hAnsi="TT Hoves Light" w:cs="Arial"/>
          <w:color w:val="000000"/>
          <w:sz w:val="20"/>
          <w:szCs w:val="20"/>
        </w:rPr>
        <w:t xml:space="preserve"> which ensures that </w:t>
      </w:r>
      <w:proofErr w:type="gramStart"/>
      <w:r w:rsidRPr="00B633DE">
        <w:rPr>
          <w:rFonts w:ascii="TT Hoves Light" w:hAnsi="TT Hoves Light" w:cs="Arial"/>
          <w:color w:val="000000"/>
          <w:sz w:val="20"/>
          <w:szCs w:val="20"/>
        </w:rPr>
        <w:t>all of</w:t>
      </w:r>
      <w:proofErr w:type="gramEnd"/>
      <w:r w:rsidRPr="00B633DE">
        <w:rPr>
          <w:rFonts w:ascii="TT Hoves Light" w:hAnsi="TT Hoves Light" w:cs="Arial"/>
          <w:color w:val="000000"/>
          <w:sz w:val="20"/>
          <w:szCs w:val="20"/>
        </w:rPr>
        <w:t xml:space="preserve"> the members’ benefits are insured.</w:t>
      </w:r>
    </w:p>
    <w:p w14:paraId="34B982E8" w14:textId="77777777" w:rsidR="007E0ECB" w:rsidRPr="007E0ECB" w:rsidRDefault="007E0ECB" w:rsidP="007E0ECB">
      <w:pPr>
        <w:pStyle w:val="Normal6ptafter"/>
        <w:spacing w:before="240"/>
        <w:rPr>
          <w:rFonts w:ascii="TT Hoves Medium" w:eastAsia="Times New Roman" w:hAnsi="TT Hoves Medium" w:cs="Arial"/>
          <w:color w:val="000000"/>
          <w:sz w:val="20"/>
          <w:szCs w:val="20"/>
        </w:rPr>
      </w:pPr>
      <w:r w:rsidRPr="007E0ECB">
        <w:rPr>
          <w:rFonts w:ascii="TT Hoves Medium" w:eastAsia="Times New Roman" w:hAnsi="TT Hoves Medium" w:cs="Arial"/>
          <w:color w:val="000000"/>
          <w:sz w:val="20"/>
          <w:szCs w:val="20"/>
        </w:rPr>
        <w:t>Implementation Statement</w:t>
      </w:r>
    </w:p>
    <w:p w14:paraId="4BDFD31A" w14:textId="77777777" w:rsidR="007E0ECB" w:rsidRPr="007E0ECB" w:rsidRDefault="007E0ECB" w:rsidP="007E0ECB">
      <w:pPr>
        <w:pStyle w:val="Normal6ptafter"/>
        <w:rPr>
          <w:rFonts w:ascii="TT Hoves Light" w:hAnsi="TT Hoves Light" w:cs="Arial"/>
          <w:color w:val="000000"/>
          <w:sz w:val="20"/>
          <w:szCs w:val="20"/>
        </w:rPr>
      </w:pPr>
      <w:r w:rsidRPr="007E0ECB">
        <w:rPr>
          <w:rFonts w:ascii="TT Hoves Light" w:hAnsi="TT Hoves Light" w:cs="Arial"/>
          <w:color w:val="000000"/>
          <w:sz w:val="20"/>
          <w:szCs w:val="20"/>
        </w:rPr>
        <w:t>This report demonstrates that Hampden Group plc Pension Scheme has adhered to its investment principles and its policies for managing financially material considerations including ESG factors and climate change.</w:t>
      </w:r>
    </w:p>
    <w:p w14:paraId="4D7CBD28" w14:textId="77777777" w:rsidR="00162BB1" w:rsidRPr="00415C2B" w:rsidRDefault="00162BB1" w:rsidP="007315F1">
      <w:pPr>
        <w:rPr>
          <w:rFonts w:ascii="TT Hoves Medium" w:eastAsia="Times New Roman" w:hAnsi="TT Hoves Medium"/>
          <w:color w:val="000000"/>
        </w:rPr>
      </w:pPr>
    </w:p>
    <w:p w14:paraId="4EB29983" w14:textId="77777777" w:rsidR="003B3E7D" w:rsidRPr="00415C2B" w:rsidRDefault="003B3E7D" w:rsidP="007315F1">
      <w:pPr>
        <w:rPr>
          <w:rFonts w:ascii="TT Hoves Medium" w:hAnsi="TT Hoves Medium"/>
        </w:rPr>
      </w:pPr>
      <w:r w:rsidRPr="00415C2B">
        <w:rPr>
          <w:rFonts w:ascii="TT Hoves Medium" w:hAnsi="TT Hoves Medium" w:cs="Arial"/>
          <w:color w:val="000000"/>
          <w:sz w:val="20"/>
          <w:szCs w:val="20"/>
        </w:rPr>
        <w:t> </w:t>
      </w:r>
    </w:p>
    <w:p w14:paraId="2A1235AC" w14:textId="669A17EA" w:rsidR="002A23C1" w:rsidRPr="00415C2B" w:rsidRDefault="00A262B5" w:rsidP="007315F1">
      <w:pPr>
        <w:rPr>
          <w:rFonts w:ascii="TT Hoves Medium" w:hAnsi="TT Hoves Medium" w:cs="Arial"/>
          <w:color w:val="000000"/>
          <w:sz w:val="20"/>
          <w:szCs w:val="20"/>
        </w:rPr>
      </w:pPr>
    </w:p>
    <w:p w14:paraId="30C689E3" w14:textId="77777777" w:rsidR="007E0ECB" w:rsidRDefault="007E0ECB" w:rsidP="007315F1">
      <w:pPr>
        <w:rPr>
          <w:rFonts w:ascii="TT Hoves Medium" w:hAnsi="TT Hoves Medium" w:cs="Arial"/>
          <w:color w:val="000000"/>
          <w:sz w:val="20"/>
          <w:szCs w:val="20"/>
        </w:rPr>
      </w:pPr>
    </w:p>
    <w:p w14:paraId="016DEED0" w14:textId="77777777" w:rsidR="007E0ECB" w:rsidRDefault="007E0ECB" w:rsidP="007315F1">
      <w:pPr>
        <w:rPr>
          <w:rFonts w:ascii="TT Hoves Medium" w:hAnsi="TT Hoves Medium" w:cs="Arial"/>
          <w:color w:val="000000"/>
          <w:sz w:val="20"/>
          <w:szCs w:val="20"/>
        </w:rPr>
      </w:pPr>
    </w:p>
    <w:p w14:paraId="554107C6" w14:textId="77777777" w:rsidR="007E0ECB" w:rsidRDefault="007E0ECB" w:rsidP="007315F1">
      <w:pPr>
        <w:rPr>
          <w:rFonts w:ascii="TT Hoves Medium" w:hAnsi="TT Hoves Medium" w:cs="Arial"/>
          <w:color w:val="000000"/>
          <w:sz w:val="20"/>
          <w:szCs w:val="20"/>
        </w:rPr>
      </w:pPr>
    </w:p>
    <w:p w14:paraId="75465F38" w14:textId="77777777" w:rsidR="007E0ECB" w:rsidRDefault="007E0ECB" w:rsidP="007315F1">
      <w:pPr>
        <w:rPr>
          <w:rFonts w:ascii="TT Hoves Medium" w:hAnsi="TT Hoves Medium" w:cs="Arial"/>
          <w:color w:val="000000"/>
          <w:sz w:val="20"/>
          <w:szCs w:val="20"/>
        </w:rPr>
      </w:pPr>
    </w:p>
    <w:p w14:paraId="0445E419" w14:textId="77777777" w:rsidR="007E0ECB" w:rsidRDefault="007E0ECB" w:rsidP="007315F1">
      <w:pPr>
        <w:rPr>
          <w:rFonts w:ascii="TT Hoves Medium" w:hAnsi="TT Hoves Medium" w:cs="Arial"/>
          <w:color w:val="000000"/>
          <w:sz w:val="20"/>
          <w:szCs w:val="20"/>
        </w:rPr>
      </w:pPr>
    </w:p>
    <w:p w14:paraId="71F0C579" w14:textId="77777777" w:rsidR="007E0ECB" w:rsidRDefault="007E0ECB" w:rsidP="007315F1">
      <w:pPr>
        <w:rPr>
          <w:rFonts w:ascii="TT Hoves Medium" w:hAnsi="TT Hoves Medium" w:cs="Arial"/>
          <w:color w:val="000000"/>
          <w:sz w:val="20"/>
          <w:szCs w:val="20"/>
        </w:rPr>
      </w:pPr>
    </w:p>
    <w:p w14:paraId="426F112B" w14:textId="77777777" w:rsidR="007E0ECB" w:rsidRDefault="007E0ECB" w:rsidP="007315F1">
      <w:pPr>
        <w:rPr>
          <w:rFonts w:ascii="TT Hoves Medium" w:hAnsi="TT Hoves Medium" w:cs="Arial"/>
          <w:color w:val="000000"/>
          <w:sz w:val="20"/>
          <w:szCs w:val="20"/>
        </w:rPr>
      </w:pPr>
    </w:p>
    <w:p w14:paraId="2526C280" w14:textId="77777777" w:rsidR="007E0ECB" w:rsidRDefault="007E0ECB" w:rsidP="007315F1">
      <w:pPr>
        <w:rPr>
          <w:rFonts w:ascii="TT Hoves Medium" w:hAnsi="TT Hoves Medium" w:cs="Arial"/>
          <w:color w:val="000000"/>
          <w:sz w:val="20"/>
          <w:szCs w:val="20"/>
        </w:rPr>
      </w:pPr>
    </w:p>
    <w:p w14:paraId="3953A64B" w14:textId="77777777" w:rsidR="007E0ECB" w:rsidRDefault="007E0ECB" w:rsidP="007315F1">
      <w:pPr>
        <w:rPr>
          <w:rFonts w:ascii="TT Hoves Medium" w:hAnsi="TT Hoves Medium" w:cs="Arial"/>
          <w:color w:val="000000"/>
          <w:sz w:val="20"/>
          <w:szCs w:val="20"/>
        </w:rPr>
      </w:pPr>
    </w:p>
    <w:p w14:paraId="22BE0274" w14:textId="77777777" w:rsidR="007E0ECB" w:rsidRDefault="007E0ECB" w:rsidP="007315F1">
      <w:pPr>
        <w:rPr>
          <w:rFonts w:ascii="TT Hoves Medium" w:hAnsi="TT Hoves Medium" w:cs="Arial"/>
          <w:color w:val="000000"/>
          <w:sz w:val="20"/>
          <w:szCs w:val="20"/>
        </w:rPr>
      </w:pPr>
    </w:p>
    <w:p w14:paraId="7B497601" w14:textId="77777777" w:rsidR="007E0ECB" w:rsidRDefault="007E0ECB" w:rsidP="007315F1">
      <w:pPr>
        <w:rPr>
          <w:rFonts w:ascii="TT Hoves Medium" w:hAnsi="TT Hoves Medium" w:cs="Arial"/>
          <w:color w:val="000000"/>
          <w:sz w:val="20"/>
          <w:szCs w:val="20"/>
        </w:rPr>
      </w:pPr>
    </w:p>
    <w:p w14:paraId="738195A1" w14:textId="77777777" w:rsidR="007E0ECB" w:rsidRDefault="007E0ECB" w:rsidP="007315F1">
      <w:pPr>
        <w:rPr>
          <w:rFonts w:ascii="TT Hoves Medium" w:hAnsi="TT Hoves Medium" w:cs="Arial"/>
          <w:color w:val="000000"/>
          <w:sz w:val="20"/>
          <w:szCs w:val="20"/>
        </w:rPr>
      </w:pPr>
    </w:p>
    <w:p w14:paraId="7FE9A337" w14:textId="77777777" w:rsidR="007E0ECB" w:rsidRDefault="007E0ECB" w:rsidP="007315F1">
      <w:pPr>
        <w:rPr>
          <w:rFonts w:ascii="TT Hoves Medium" w:hAnsi="TT Hoves Medium" w:cs="Arial"/>
          <w:color w:val="000000"/>
          <w:sz w:val="20"/>
          <w:szCs w:val="20"/>
        </w:rPr>
      </w:pPr>
    </w:p>
    <w:p w14:paraId="222079E4" w14:textId="77777777" w:rsidR="007E0ECB" w:rsidRDefault="007E0ECB" w:rsidP="007315F1">
      <w:pPr>
        <w:rPr>
          <w:rFonts w:ascii="TT Hoves Medium" w:hAnsi="TT Hoves Medium" w:cs="Arial"/>
          <w:color w:val="000000"/>
          <w:sz w:val="20"/>
          <w:szCs w:val="20"/>
        </w:rPr>
      </w:pPr>
    </w:p>
    <w:p w14:paraId="7C06C795" w14:textId="77777777" w:rsidR="007E0ECB" w:rsidRDefault="007E0ECB" w:rsidP="007315F1">
      <w:pPr>
        <w:rPr>
          <w:rFonts w:ascii="TT Hoves Medium" w:hAnsi="TT Hoves Medium" w:cs="Arial"/>
          <w:color w:val="000000"/>
          <w:sz w:val="20"/>
          <w:szCs w:val="20"/>
        </w:rPr>
      </w:pPr>
    </w:p>
    <w:p w14:paraId="0F87BE5B" w14:textId="59E0EEC3" w:rsidR="0019192D" w:rsidRDefault="0019192D">
      <w:pPr>
        <w:spacing w:after="160" w:line="259" w:lineRule="auto"/>
        <w:rPr>
          <w:rFonts w:ascii="TT Hoves Medium" w:hAnsi="TT Hoves Medium" w:cs="Arial"/>
          <w:color w:val="000000"/>
          <w:sz w:val="20"/>
          <w:szCs w:val="20"/>
        </w:rPr>
      </w:pPr>
      <w:r>
        <w:rPr>
          <w:rFonts w:ascii="TT Hoves Medium" w:hAnsi="TT Hoves Medium" w:cs="Arial"/>
          <w:color w:val="000000"/>
          <w:sz w:val="20"/>
          <w:szCs w:val="20"/>
        </w:rPr>
        <w:br w:type="page"/>
      </w:r>
    </w:p>
    <w:p w14:paraId="409462FF" w14:textId="7769255F" w:rsidR="00415C2B" w:rsidRPr="00415C2B" w:rsidRDefault="00415C2B" w:rsidP="007315F1">
      <w:pPr>
        <w:rPr>
          <w:rFonts w:ascii="TT Hoves Medium" w:hAnsi="TT Hoves Medium" w:cs="Arial"/>
          <w:color w:val="000000"/>
          <w:sz w:val="20"/>
          <w:szCs w:val="20"/>
        </w:rPr>
      </w:pPr>
      <w:r w:rsidRPr="00415C2B">
        <w:rPr>
          <w:rFonts w:ascii="TT Hoves Medium" w:hAnsi="TT Hoves Medium" w:cs="Arial"/>
          <w:color w:val="000000"/>
          <w:sz w:val="20"/>
          <w:szCs w:val="20"/>
        </w:rPr>
        <w:lastRenderedPageBreak/>
        <w:t xml:space="preserve">Managing risks </w:t>
      </w:r>
    </w:p>
    <w:p w14:paraId="1C6E2EBE" w14:textId="4A03F11C" w:rsidR="00415C2B" w:rsidRPr="00415C2B" w:rsidRDefault="00415C2B">
      <w:pPr>
        <w:rPr>
          <w:rFonts w:ascii="TT Hoves Light" w:hAnsi="TT Hoves Light"/>
        </w:rPr>
      </w:pPr>
    </w:p>
    <w:tbl>
      <w:tblPr>
        <w:tblStyle w:val="IsioDarkHeader"/>
        <w:tblW w:w="9356" w:type="dxa"/>
        <w:tblLook w:val="04A0" w:firstRow="1" w:lastRow="0" w:firstColumn="1" w:lastColumn="0" w:noHBand="0" w:noVBand="1"/>
      </w:tblPr>
      <w:tblGrid>
        <w:gridCol w:w="1437"/>
        <w:gridCol w:w="2512"/>
        <w:gridCol w:w="3003"/>
        <w:gridCol w:w="2404"/>
      </w:tblGrid>
      <w:tr w:rsidR="0090487A" w:rsidRPr="00415C2B" w14:paraId="0EDB4194" w14:textId="77777777" w:rsidTr="00A262B5">
        <w:trPr>
          <w:cnfStyle w:val="100000000000" w:firstRow="1" w:lastRow="0" w:firstColumn="0" w:lastColumn="0" w:oddVBand="0" w:evenVBand="0" w:oddHBand="0" w:evenHBand="0" w:firstRowFirstColumn="0" w:firstRowLastColumn="0" w:lastRowFirstColumn="0" w:lastRowLastColumn="0"/>
          <w:trHeight w:val="672"/>
        </w:trPr>
        <w:tc>
          <w:tcPr>
            <w:tcW w:w="1437" w:type="dxa"/>
            <w:tcBorders>
              <w:bottom w:val="nil"/>
            </w:tcBorders>
            <w:shd w:val="clear" w:color="auto" w:fill="00BA8D"/>
            <w:vAlign w:val="center"/>
          </w:tcPr>
          <w:p w14:paraId="3A25C627" w14:textId="77777777" w:rsidR="00415C2B" w:rsidRPr="0090487A" w:rsidRDefault="00415C2B" w:rsidP="00860DE3">
            <w:pPr>
              <w:pStyle w:val="Normal6ptafter"/>
              <w:rPr>
                <w:rStyle w:val="TTHovesMedium"/>
                <w:rFonts w:ascii="TT Hoves Light" w:hAnsi="TT Hoves Light"/>
                <w:color w:val="FFFFFF" w:themeColor="background1"/>
              </w:rPr>
            </w:pPr>
            <w:r w:rsidRPr="0090487A">
              <w:rPr>
                <w:rStyle w:val="TTHovesMedium"/>
                <w:rFonts w:ascii="TT Hoves Light" w:hAnsi="TT Hoves Light"/>
                <w:color w:val="FFFFFF" w:themeColor="background1"/>
              </w:rPr>
              <w:t>Risk / Policy</w:t>
            </w:r>
            <w:r w:rsidRPr="0090487A">
              <w:rPr>
                <w:rFonts w:ascii="TT Hoves Light" w:hAnsi="TT Hoves Light"/>
                <w:noProof/>
                <w:color w:val="FFFFFF" w:themeColor="background1"/>
                <w:lang w:eastAsia="en-GB"/>
              </w:rPr>
              <w:t xml:space="preserve"> </w:t>
            </w:r>
          </w:p>
        </w:tc>
        <w:tc>
          <w:tcPr>
            <w:tcW w:w="2512" w:type="dxa"/>
            <w:shd w:val="clear" w:color="auto" w:fill="00BA8D"/>
            <w:vAlign w:val="center"/>
          </w:tcPr>
          <w:p w14:paraId="562F9C42" w14:textId="77777777" w:rsidR="00415C2B" w:rsidRPr="0090487A" w:rsidRDefault="00415C2B" w:rsidP="00860DE3">
            <w:pPr>
              <w:pStyle w:val="Normal6ptafter"/>
              <w:rPr>
                <w:rStyle w:val="TTHovesMedium"/>
                <w:rFonts w:ascii="TT Hoves Light" w:hAnsi="TT Hoves Light"/>
                <w:color w:val="FFFFFF" w:themeColor="background1"/>
              </w:rPr>
            </w:pPr>
            <w:r w:rsidRPr="0090487A">
              <w:rPr>
                <w:rStyle w:val="TTHovesMedium"/>
                <w:rFonts w:ascii="TT Hoves Light" w:hAnsi="TT Hoves Light"/>
                <w:color w:val="FFFFFF" w:themeColor="background1"/>
              </w:rPr>
              <w:t>Definition</w:t>
            </w:r>
          </w:p>
        </w:tc>
        <w:tc>
          <w:tcPr>
            <w:tcW w:w="3003" w:type="dxa"/>
            <w:shd w:val="clear" w:color="auto" w:fill="00BA8D"/>
            <w:vAlign w:val="center"/>
          </w:tcPr>
          <w:p w14:paraId="7B8A84DD" w14:textId="77777777" w:rsidR="00415C2B" w:rsidRPr="0090487A" w:rsidRDefault="00415C2B" w:rsidP="00860DE3">
            <w:pPr>
              <w:pStyle w:val="Normal6ptafter"/>
              <w:rPr>
                <w:rStyle w:val="TTHovesMedium"/>
                <w:rFonts w:ascii="TT Hoves Light" w:hAnsi="TT Hoves Light"/>
                <w:color w:val="FFFFFF" w:themeColor="background1"/>
              </w:rPr>
            </w:pPr>
            <w:r w:rsidRPr="0090487A">
              <w:rPr>
                <w:rStyle w:val="TTHovesMedium"/>
                <w:rFonts w:ascii="TT Hoves Light" w:hAnsi="TT Hoves Light"/>
                <w:color w:val="FFFFFF" w:themeColor="background1"/>
              </w:rPr>
              <w:t>Policy</w:t>
            </w:r>
          </w:p>
        </w:tc>
        <w:tc>
          <w:tcPr>
            <w:tcW w:w="2404" w:type="dxa"/>
            <w:shd w:val="clear" w:color="auto" w:fill="00BA8D"/>
            <w:vAlign w:val="center"/>
          </w:tcPr>
          <w:p w14:paraId="0C17F9EA" w14:textId="77777777" w:rsidR="00415C2B" w:rsidRPr="0090487A" w:rsidRDefault="00415C2B" w:rsidP="00860DE3">
            <w:pPr>
              <w:pStyle w:val="Normal6ptafter"/>
              <w:rPr>
                <w:rStyle w:val="TTHovesMedium"/>
                <w:rFonts w:ascii="TT Hoves Light" w:hAnsi="TT Hoves Light"/>
                <w:color w:val="FFFFFF" w:themeColor="background1"/>
              </w:rPr>
            </w:pPr>
            <w:r w:rsidRPr="0090487A">
              <w:rPr>
                <w:rStyle w:val="TTHovesMedium"/>
                <w:rFonts w:ascii="TT Hoves Light" w:hAnsi="TT Hoves Light"/>
                <w:color w:val="FFFFFF" w:themeColor="background1"/>
              </w:rPr>
              <w:t>Actions</w:t>
            </w:r>
          </w:p>
        </w:tc>
      </w:tr>
      <w:tr w:rsidR="00A74FDA" w:rsidRPr="00415C2B" w14:paraId="35F376C6" w14:textId="77777777" w:rsidTr="00823861">
        <w:trPr>
          <w:trHeight w:val="1332"/>
        </w:trPr>
        <w:tc>
          <w:tcPr>
            <w:tcW w:w="1437" w:type="dxa"/>
            <w:tcBorders>
              <w:top w:val="nil"/>
              <w:bottom w:val="nil"/>
            </w:tcBorders>
            <w:shd w:val="clear" w:color="auto" w:fill="E7E6E6" w:themeFill="background2"/>
            <w:vAlign w:val="center"/>
          </w:tcPr>
          <w:p w14:paraId="0C6F8DC1" w14:textId="77777777" w:rsidR="00A74FDA" w:rsidRPr="00415C2B" w:rsidRDefault="00A74FDA" w:rsidP="007315F1">
            <w:pPr>
              <w:pStyle w:val="Normal6ptafter"/>
              <w:ind w:left="-228" w:firstLine="228"/>
              <w:rPr>
                <w:rFonts w:ascii="TT Hoves Light" w:hAnsi="TT Hoves Light"/>
              </w:rPr>
            </w:pPr>
            <w:r w:rsidRPr="00415C2B">
              <w:rPr>
                <w:rFonts w:ascii="TT Hoves Light" w:hAnsi="TT Hoves Light"/>
              </w:rPr>
              <w:t xml:space="preserve">Interest rates </w:t>
            </w:r>
          </w:p>
        </w:tc>
        <w:tc>
          <w:tcPr>
            <w:tcW w:w="2512" w:type="dxa"/>
            <w:tcBorders>
              <w:top w:val="single" w:sz="4" w:space="0" w:color="4472C4" w:themeColor="accent1"/>
              <w:bottom w:val="single" w:sz="4" w:space="0" w:color="44546A" w:themeColor="text2"/>
            </w:tcBorders>
            <w:vAlign w:val="center"/>
          </w:tcPr>
          <w:p w14:paraId="2E9DE76D" w14:textId="77777777" w:rsidR="00A74FDA" w:rsidRPr="00415C2B" w:rsidRDefault="00A74FDA" w:rsidP="00860DE3">
            <w:pPr>
              <w:pStyle w:val="Normal6ptafter"/>
              <w:rPr>
                <w:rFonts w:ascii="TT Hoves Light" w:hAnsi="TT Hoves Light"/>
              </w:rPr>
            </w:pPr>
            <w:r w:rsidRPr="00415C2B">
              <w:rPr>
                <w:rFonts w:ascii="TT Hoves Light" w:hAnsi="TT Hoves Light"/>
              </w:rPr>
              <w:t>The risk of mismatch between the value of the Scheme assets and present value of liabilities from changes in interest rates.</w:t>
            </w:r>
          </w:p>
        </w:tc>
        <w:tc>
          <w:tcPr>
            <w:tcW w:w="3003" w:type="dxa"/>
            <w:tcBorders>
              <w:top w:val="single" w:sz="4" w:space="0" w:color="4472C4" w:themeColor="accent1"/>
              <w:bottom w:val="single" w:sz="4" w:space="0" w:color="44546A" w:themeColor="text2"/>
            </w:tcBorders>
            <w:vAlign w:val="center"/>
          </w:tcPr>
          <w:p w14:paraId="7AC410EB" w14:textId="7AD68D27" w:rsidR="00A74FDA" w:rsidRPr="00415C2B" w:rsidRDefault="00A74FDA" w:rsidP="00860DE3">
            <w:pPr>
              <w:pStyle w:val="Normal6ptafter"/>
              <w:rPr>
                <w:rFonts w:ascii="TT Hoves Light" w:hAnsi="TT Hoves Light"/>
              </w:rPr>
            </w:pPr>
            <w:r w:rsidRPr="00415C2B">
              <w:rPr>
                <w:rFonts w:ascii="TT Hoves Light" w:hAnsi="TT Hoves Light"/>
              </w:rPr>
              <w:t>The Trustee aims to hedge this risk both directly and indirectly where appropriate and affordable. </w:t>
            </w:r>
          </w:p>
        </w:tc>
        <w:tc>
          <w:tcPr>
            <w:tcW w:w="2404" w:type="dxa"/>
            <w:vMerge w:val="restart"/>
            <w:tcBorders>
              <w:top w:val="single" w:sz="4" w:space="0" w:color="4472C4" w:themeColor="accent1"/>
            </w:tcBorders>
            <w:vAlign w:val="center"/>
          </w:tcPr>
          <w:p w14:paraId="4EC9FCC8" w14:textId="3675E0C8" w:rsidR="00A74FDA" w:rsidRPr="00415C2B" w:rsidRDefault="00A74FDA" w:rsidP="00860DE3">
            <w:pPr>
              <w:pStyle w:val="Normal6ptafter"/>
              <w:rPr>
                <w:rFonts w:ascii="TT Hoves Light" w:hAnsi="TT Hoves Light"/>
              </w:rPr>
            </w:pPr>
            <w:r>
              <w:rPr>
                <w:rFonts w:ascii="TT Hoves Light" w:hAnsi="TT Hoves Light"/>
              </w:rPr>
              <w:t xml:space="preserve">The Trustee implemented a full buy in of the Scheme’s liabilities which has transferred this risk to the insurer. </w:t>
            </w:r>
          </w:p>
        </w:tc>
      </w:tr>
      <w:tr w:rsidR="00A74FDA" w:rsidRPr="00415C2B" w14:paraId="23CE6245" w14:textId="77777777" w:rsidTr="00823861">
        <w:trPr>
          <w:trHeight w:val="1332"/>
        </w:trPr>
        <w:tc>
          <w:tcPr>
            <w:tcW w:w="1437" w:type="dxa"/>
            <w:tcBorders>
              <w:top w:val="nil"/>
              <w:bottom w:val="nil"/>
            </w:tcBorders>
            <w:shd w:val="clear" w:color="auto" w:fill="E7E6E6" w:themeFill="background2"/>
            <w:vAlign w:val="center"/>
          </w:tcPr>
          <w:p w14:paraId="582055E8" w14:textId="77777777" w:rsidR="00A74FDA" w:rsidRPr="00415C2B" w:rsidRDefault="00A74FDA" w:rsidP="00860DE3">
            <w:pPr>
              <w:pStyle w:val="Normal6ptafter"/>
              <w:rPr>
                <w:rFonts w:ascii="TT Hoves Light" w:hAnsi="TT Hoves Light"/>
              </w:rPr>
            </w:pPr>
            <w:r w:rsidRPr="00415C2B">
              <w:rPr>
                <w:rFonts w:ascii="TT Hoves Light" w:hAnsi="TT Hoves Light"/>
              </w:rPr>
              <w:t>Inflation</w:t>
            </w:r>
          </w:p>
        </w:tc>
        <w:tc>
          <w:tcPr>
            <w:tcW w:w="2512" w:type="dxa"/>
            <w:tcBorders>
              <w:top w:val="single" w:sz="4" w:space="0" w:color="4472C4" w:themeColor="accent1"/>
              <w:bottom w:val="single" w:sz="4" w:space="0" w:color="44546A" w:themeColor="text2"/>
            </w:tcBorders>
            <w:vAlign w:val="center"/>
          </w:tcPr>
          <w:p w14:paraId="6B8C8629" w14:textId="77777777" w:rsidR="00A74FDA" w:rsidRPr="00415C2B" w:rsidRDefault="00A74FDA" w:rsidP="00860DE3">
            <w:pPr>
              <w:pStyle w:val="Normal6ptafter"/>
              <w:rPr>
                <w:rFonts w:ascii="TT Hoves Light" w:hAnsi="TT Hoves Light"/>
              </w:rPr>
            </w:pPr>
            <w:r w:rsidRPr="00415C2B">
              <w:rPr>
                <w:rFonts w:ascii="TT Hoves Light" w:hAnsi="TT Hoves Light"/>
              </w:rPr>
              <w:t>The risk of mismatch between the value of the Scheme assets and present value of liabilities from changes in inflation.</w:t>
            </w:r>
          </w:p>
        </w:tc>
        <w:tc>
          <w:tcPr>
            <w:tcW w:w="3003" w:type="dxa"/>
            <w:tcBorders>
              <w:top w:val="single" w:sz="4" w:space="0" w:color="4472C4" w:themeColor="accent1"/>
              <w:bottom w:val="single" w:sz="4" w:space="0" w:color="44546A" w:themeColor="text2"/>
            </w:tcBorders>
            <w:vAlign w:val="center"/>
          </w:tcPr>
          <w:p w14:paraId="0903CDC8" w14:textId="77777777" w:rsidR="00A74FDA" w:rsidRPr="00415C2B" w:rsidRDefault="00A74FDA" w:rsidP="00860DE3">
            <w:pPr>
              <w:pStyle w:val="Normal6ptafter"/>
              <w:rPr>
                <w:rFonts w:ascii="TT Hoves Light" w:hAnsi="TT Hoves Light"/>
              </w:rPr>
            </w:pPr>
            <w:r w:rsidRPr="00415C2B">
              <w:rPr>
                <w:rFonts w:ascii="TT Hoves Light" w:hAnsi="TT Hoves Light"/>
              </w:rPr>
              <w:t>The Trustee aims to hedge this risk both directly and indirectly where appropriate and affordable. </w:t>
            </w:r>
          </w:p>
        </w:tc>
        <w:tc>
          <w:tcPr>
            <w:tcW w:w="2404" w:type="dxa"/>
            <w:vMerge/>
            <w:vAlign w:val="center"/>
          </w:tcPr>
          <w:p w14:paraId="71FA20EF" w14:textId="77777777" w:rsidR="00A74FDA" w:rsidRPr="00415C2B" w:rsidRDefault="00A74FDA" w:rsidP="00415C2B">
            <w:pPr>
              <w:pStyle w:val="Normal6ptafter"/>
              <w:ind w:left="476" w:hanging="476"/>
              <w:rPr>
                <w:rFonts w:ascii="TT Hoves Light" w:hAnsi="TT Hoves Light"/>
                <w:color w:val="0070C0"/>
              </w:rPr>
            </w:pPr>
          </w:p>
        </w:tc>
      </w:tr>
      <w:tr w:rsidR="00A74FDA" w:rsidRPr="00415C2B" w14:paraId="7B8FD334" w14:textId="77777777" w:rsidTr="00823861">
        <w:trPr>
          <w:trHeight w:val="1457"/>
        </w:trPr>
        <w:tc>
          <w:tcPr>
            <w:tcW w:w="1437" w:type="dxa"/>
            <w:tcBorders>
              <w:top w:val="nil"/>
              <w:bottom w:val="nil"/>
            </w:tcBorders>
            <w:shd w:val="clear" w:color="auto" w:fill="E7E6E6" w:themeFill="background2"/>
            <w:vAlign w:val="center"/>
          </w:tcPr>
          <w:p w14:paraId="3F9CA4D8" w14:textId="77777777" w:rsidR="00A74FDA" w:rsidRPr="00415C2B" w:rsidRDefault="00A74FDA" w:rsidP="00860DE3">
            <w:pPr>
              <w:pStyle w:val="Normal6ptafter"/>
              <w:rPr>
                <w:rFonts w:ascii="TT Hoves Light" w:hAnsi="TT Hoves Light"/>
              </w:rPr>
            </w:pPr>
            <w:r w:rsidRPr="00415C2B">
              <w:rPr>
                <w:rFonts w:ascii="TT Hoves Light" w:hAnsi="TT Hoves Light"/>
              </w:rPr>
              <w:t>Liquidity</w:t>
            </w:r>
          </w:p>
        </w:tc>
        <w:tc>
          <w:tcPr>
            <w:tcW w:w="2512" w:type="dxa"/>
            <w:tcBorders>
              <w:top w:val="single" w:sz="4" w:space="0" w:color="44546A" w:themeColor="text2"/>
              <w:bottom w:val="single" w:sz="4" w:space="0" w:color="44546A" w:themeColor="text2"/>
            </w:tcBorders>
            <w:vAlign w:val="center"/>
          </w:tcPr>
          <w:p w14:paraId="776CB9A6" w14:textId="77777777" w:rsidR="00A74FDA" w:rsidRPr="00415C2B" w:rsidRDefault="00A74FDA" w:rsidP="00860DE3">
            <w:pPr>
              <w:pStyle w:val="Normal6ptafter"/>
              <w:rPr>
                <w:rFonts w:ascii="TT Hoves Light" w:hAnsi="TT Hoves Light"/>
              </w:rPr>
            </w:pPr>
            <w:r w:rsidRPr="00415C2B">
              <w:rPr>
                <w:rFonts w:ascii="TT Hoves Light" w:hAnsi="TT Hoves Light"/>
              </w:rPr>
              <w:t xml:space="preserve">Difficulties in raising sufficient cash when needed without adversely impacting the fair market value of the investment. </w:t>
            </w:r>
          </w:p>
          <w:p w14:paraId="211B0493" w14:textId="77777777" w:rsidR="00A74FDA" w:rsidRPr="00415C2B" w:rsidRDefault="00A74FDA" w:rsidP="00860DE3">
            <w:pPr>
              <w:pStyle w:val="Normal6ptafter"/>
              <w:rPr>
                <w:rFonts w:ascii="TT Hoves Light" w:hAnsi="TT Hoves Light"/>
              </w:rPr>
            </w:pPr>
            <w:r w:rsidRPr="00415C2B">
              <w:rPr>
                <w:rFonts w:ascii="TT Hoves Light" w:hAnsi="TT Hoves Light"/>
              </w:rPr>
              <w:t> </w:t>
            </w:r>
          </w:p>
        </w:tc>
        <w:tc>
          <w:tcPr>
            <w:tcW w:w="3003" w:type="dxa"/>
            <w:tcBorders>
              <w:top w:val="single" w:sz="4" w:space="0" w:color="44546A" w:themeColor="text2"/>
              <w:bottom w:val="single" w:sz="4" w:space="0" w:color="44546A" w:themeColor="text2"/>
            </w:tcBorders>
            <w:vAlign w:val="center"/>
          </w:tcPr>
          <w:p w14:paraId="248B4B34" w14:textId="77777777" w:rsidR="00A74FDA" w:rsidRPr="00415C2B" w:rsidRDefault="00A74FDA" w:rsidP="00860DE3">
            <w:pPr>
              <w:pStyle w:val="Normal6ptafter"/>
              <w:rPr>
                <w:rFonts w:ascii="TT Hoves Light" w:hAnsi="TT Hoves Light"/>
              </w:rPr>
            </w:pPr>
            <w:r w:rsidRPr="00415C2B">
              <w:rPr>
                <w:rFonts w:ascii="TT Hoves Light" w:hAnsi="TT Hoves Light"/>
              </w:rPr>
              <w:t xml:space="preserve">To maintain a sufficient allocation to liquid assets so that there is a prudent buffer to pay members benefits as they fall due (including transfer values).  </w:t>
            </w:r>
          </w:p>
        </w:tc>
        <w:tc>
          <w:tcPr>
            <w:tcW w:w="2404" w:type="dxa"/>
            <w:vMerge/>
            <w:vAlign w:val="center"/>
          </w:tcPr>
          <w:p w14:paraId="0ED0CE87" w14:textId="77777777" w:rsidR="00A74FDA" w:rsidRPr="00415C2B" w:rsidRDefault="00A74FDA" w:rsidP="00860DE3">
            <w:pPr>
              <w:pStyle w:val="Normal6ptafter"/>
              <w:rPr>
                <w:rFonts w:ascii="TT Hoves Light" w:hAnsi="TT Hoves Light"/>
                <w:color w:val="auto"/>
              </w:rPr>
            </w:pPr>
          </w:p>
        </w:tc>
      </w:tr>
      <w:tr w:rsidR="00A74FDA" w:rsidRPr="00415C2B" w14:paraId="22106A34" w14:textId="77777777" w:rsidTr="00823861">
        <w:trPr>
          <w:trHeight w:val="1457"/>
        </w:trPr>
        <w:tc>
          <w:tcPr>
            <w:tcW w:w="1437" w:type="dxa"/>
            <w:tcBorders>
              <w:top w:val="nil"/>
              <w:bottom w:val="nil"/>
            </w:tcBorders>
            <w:shd w:val="clear" w:color="auto" w:fill="E7E6E6" w:themeFill="background2"/>
            <w:vAlign w:val="center"/>
          </w:tcPr>
          <w:p w14:paraId="57A65AA4" w14:textId="77777777" w:rsidR="00A74FDA" w:rsidRPr="00415C2B" w:rsidRDefault="00A74FDA" w:rsidP="00860DE3">
            <w:pPr>
              <w:pStyle w:val="Normal6ptafter"/>
              <w:rPr>
                <w:rFonts w:ascii="TT Hoves Light" w:hAnsi="TT Hoves Light"/>
              </w:rPr>
            </w:pPr>
            <w:r w:rsidRPr="00415C2B">
              <w:rPr>
                <w:rFonts w:ascii="TT Hoves Light" w:hAnsi="TT Hoves Light"/>
              </w:rPr>
              <w:t>Currency</w:t>
            </w:r>
          </w:p>
        </w:tc>
        <w:tc>
          <w:tcPr>
            <w:tcW w:w="2512" w:type="dxa"/>
            <w:tcBorders>
              <w:top w:val="single" w:sz="4" w:space="0" w:color="44546A" w:themeColor="text2"/>
              <w:bottom w:val="single" w:sz="4" w:space="0" w:color="44546A" w:themeColor="text2"/>
            </w:tcBorders>
            <w:vAlign w:val="center"/>
          </w:tcPr>
          <w:p w14:paraId="23F01D05" w14:textId="77777777" w:rsidR="00A74FDA" w:rsidRPr="00415C2B" w:rsidRDefault="00A74FDA" w:rsidP="00860DE3">
            <w:pPr>
              <w:pStyle w:val="Normal6ptafter"/>
              <w:rPr>
                <w:rFonts w:ascii="TT Hoves Light" w:hAnsi="TT Hoves Light"/>
              </w:rPr>
            </w:pPr>
            <w:r w:rsidRPr="00415C2B">
              <w:rPr>
                <w:rFonts w:ascii="TT Hoves Light" w:hAnsi="TT Hoves Light"/>
              </w:rPr>
              <w:t>The potential for adverse currency movements to have an impact on the Scheme’s investments.</w:t>
            </w:r>
          </w:p>
        </w:tc>
        <w:tc>
          <w:tcPr>
            <w:tcW w:w="3003" w:type="dxa"/>
            <w:tcBorders>
              <w:top w:val="single" w:sz="4" w:space="0" w:color="44546A" w:themeColor="text2"/>
              <w:bottom w:val="single" w:sz="4" w:space="0" w:color="44546A" w:themeColor="text2"/>
            </w:tcBorders>
            <w:vAlign w:val="center"/>
          </w:tcPr>
          <w:p w14:paraId="4D9621AE" w14:textId="77777777" w:rsidR="00A74FDA" w:rsidRPr="00415C2B" w:rsidRDefault="00A74FDA" w:rsidP="00860DE3">
            <w:pPr>
              <w:pStyle w:val="Normal6ptafter"/>
              <w:rPr>
                <w:rFonts w:ascii="TT Hoves Light" w:hAnsi="TT Hoves Light"/>
              </w:rPr>
            </w:pPr>
            <w:r w:rsidRPr="00415C2B">
              <w:rPr>
                <w:rFonts w:ascii="TT Hoves Light" w:hAnsi="TT Hoves Light"/>
              </w:rPr>
              <w:t>To largely invest in GBP share classes where possible to eliminate direct currency risk.</w:t>
            </w:r>
          </w:p>
        </w:tc>
        <w:tc>
          <w:tcPr>
            <w:tcW w:w="2404" w:type="dxa"/>
            <w:vMerge/>
            <w:vAlign w:val="center"/>
          </w:tcPr>
          <w:p w14:paraId="1396FA63" w14:textId="77777777" w:rsidR="00A74FDA" w:rsidRPr="00415C2B" w:rsidRDefault="00A74FDA" w:rsidP="00860DE3">
            <w:pPr>
              <w:pStyle w:val="Normal6ptafter"/>
              <w:rPr>
                <w:rFonts w:ascii="TT Hoves Light" w:hAnsi="TT Hoves Light"/>
              </w:rPr>
            </w:pPr>
          </w:p>
        </w:tc>
      </w:tr>
      <w:tr w:rsidR="00A74FDA" w:rsidRPr="00415C2B" w14:paraId="54B6C8EA" w14:textId="77777777" w:rsidTr="00823861">
        <w:trPr>
          <w:trHeight w:val="1457"/>
        </w:trPr>
        <w:tc>
          <w:tcPr>
            <w:tcW w:w="1437" w:type="dxa"/>
            <w:tcBorders>
              <w:top w:val="nil"/>
              <w:bottom w:val="nil"/>
            </w:tcBorders>
            <w:shd w:val="clear" w:color="auto" w:fill="E7E6E6" w:themeFill="background2"/>
            <w:vAlign w:val="center"/>
          </w:tcPr>
          <w:p w14:paraId="6AC7163E" w14:textId="77777777" w:rsidR="00A74FDA" w:rsidRPr="00415C2B" w:rsidRDefault="00A74FDA" w:rsidP="00860DE3">
            <w:pPr>
              <w:pStyle w:val="Normal6ptafter"/>
              <w:rPr>
                <w:rFonts w:ascii="TT Hoves Light" w:hAnsi="TT Hoves Light"/>
              </w:rPr>
            </w:pPr>
            <w:r w:rsidRPr="00415C2B">
              <w:rPr>
                <w:rFonts w:ascii="TT Hoves Light" w:hAnsi="TT Hoves Light"/>
              </w:rPr>
              <w:t>Longevity</w:t>
            </w:r>
          </w:p>
        </w:tc>
        <w:tc>
          <w:tcPr>
            <w:tcW w:w="2512" w:type="dxa"/>
            <w:tcBorders>
              <w:top w:val="single" w:sz="4" w:space="0" w:color="44546A" w:themeColor="text2"/>
              <w:bottom w:val="single" w:sz="4" w:space="0" w:color="44546A" w:themeColor="text2"/>
            </w:tcBorders>
            <w:vAlign w:val="center"/>
          </w:tcPr>
          <w:p w14:paraId="72AD420E" w14:textId="77777777" w:rsidR="00A74FDA" w:rsidRPr="00415C2B" w:rsidRDefault="00A74FDA" w:rsidP="00860DE3">
            <w:pPr>
              <w:pStyle w:val="Normal6ptafter"/>
              <w:rPr>
                <w:rFonts w:ascii="TT Hoves Light" w:hAnsi="TT Hoves Light"/>
              </w:rPr>
            </w:pPr>
            <w:r w:rsidRPr="00415C2B">
              <w:rPr>
                <w:rFonts w:ascii="TT Hoves Light" w:hAnsi="TT Hoves Light"/>
              </w:rPr>
              <w:t>Scheme Members living longer than expected, leading to a larger than expected liability.</w:t>
            </w:r>
          </w:p>
        </w:tc>
        <w:tc>
          <w:tcPr>
            <w:tcW w:w="3003" w:type="dxa"/>
            <w:tcBorders>
              <w:top w:val="single" w:sz="4" w:space="0" w:color="44546A" w:themeColor="text2"/>
              <w:bottom w:val="single" w:sz="4" w:space="0" w:color="44546A" w:themeColor="text2"/>
            </w:tcBorders>
            <w:vAlign w:val="center"/>
          </w:tcPr>
          <w:p w14:paraId="7BCC04E6" w14:textId="77777777" w:rsidR="00A74FDA" w:rsidRPr="00415C2B" w:rsidRDefault="00A74FDA" w:rsidP="00860DE3">
            <w:pPr>
              <w:pStyle w:val="Normal6ptafter"/>
              <w:rPr>
                <w:rFonts w:ascii="TT Hoves Light" w:hAnsi="TT Hoves Light"/>
              </w:rPr>
            </w:pPr>
            <w:r w:rsidRPr="00415C2B">
              <w:rPr>
                <w:rFonts w:ascii="TT Hoves Light" w:hAnsi="TT Hoves Light"/>
                <w:color w:val="000000" w:themeColor="text1" w:themeShade="BF"/>
              </w:rPr>
              <w:t>Given the impracticalities surrounding hedging longevity risk for smaller pension schemes without implementing a buy in, the Trustee assesses but retains this risk.</w:t>
            </w:r>
          </w:p>
        </w:tc>
        <w:tc>
          <w:tcPr>
            <w:tcW w:w="2404" w:type="dxa"/>
            <w:vMerge/>
            <w:vAlign w:val="center"/>
          </w:tcPr>
          <w:p w14:paraId="5CE4E875" w14:textId="01429DDA" w:rsidR="00A74FDA" w:rsidRPr="00415C2B" w:rsidRDefault="00A74FDA" w:rsidP="00860DE3">
            <w:pPr>
              <w:pStyle w:val="Normal6ptafter"/>
              <w:rPr>
                <w:rFonts w:ascii="TT Hoves Light" w:hAnsi="TT Hoves Light"/>
              </w:rPr>
            </w:pPr>
          </w:p>
        </w:tc>
      </w:tr>
      <w:tr w:rsidR="00A74FDA" w:rsidRPr="00415C2B" w14:paraId="63522608" w14:textId="77777777" w:rsidTr="00823861">
        <w:trPr>
          <w:trHeight w:val="1457"/>
        </w:trPr>
        <w:tc>
          <w:tcPr>
            <w:tcW w:w="1437" w:type="dxa"/>
            <w:tcBorders>
              <w:top w:val="nil"/>
              <w:bottom w:val="nil"/>
            </w:tcBorders>
            <w:shd w:val="clear" w:color="auto" w:fill="E7E6E6" w:themeFill="background2"/>
            <w:vAlign w:val="center"/>
          </w:tcPr>
          <w:p w14:paraId="03468EE1" w14:textId="77777777" w:rsidR="00A74FDA" w:rsidRPr="00415C2B" w:rsidRDefault="00A74FDA" w:rsidP="00860DE3">
            <w:pPr>
              <w:pStyle w:val="Normal6ptafter"/>
              <w:rPr>
                <w:rFonts w:ascii="TT Hoves Light" w:hAnsi="TT Hoves Light"/>
              </w:rPr>
            </w:pPr>
            <w:r w:rsidRPr="00415C2B">
              <w:rPr>
                <w:rFonts w:ascii="TT Hoves Light" w:hAnsi="TT Hoves Light"/>
              </w:rPr>
              <w:t>Credit</w:t>
            </w:r>
          </w:p>
        </w:tc>
        <w:tc>
          <w:tcPr>
            <w:tcW w:w="2512" w:type="dxa"/>
            <w:tcBorders>
              <w:top w:val="single" w:sz="4" w:space="0" w:color="44546A" w:themeColor="text2"/>
              <w:bottom w:val="single" w:sz="4" w:space="0" w:color="44546A" w:themeColor="text2"/>
            </w:tcBorders>
            <w:vAlign w:val="center"/>
          </w:tcPr>
          <w:p w14:paraId="44E4075C" w14:textId="77777777" w:rsidR="00A74FDA" w:rsidRPr="00415C2B" w:rsidRDefault="00A74FDA" w:rsidP="00860DE3">
            <w:pPr>
              <w:pStyle w:val="Normal6ptafter"/>
              <w:rPr>
                <w:rFonts w:ascii="TT Hoves Light" w:hAnsi="TT Hoves Light"/>
              </w:rPr>
            </w:pPr>
            <w:r w:rsidRPr="00415C2B">
              <w:rPr>
                <w:rFonts w:ascii="TT Hoves Light" w:hAnsi="TT Hoves Light"/>
              </w:rPr>
              <w:t>Default on payments due as part of a financial security contract.</w:t>
            </w:r>
          </w:p>
          <w:p w14:paraId="7AFB220C" w14:textId="77777777" w:rsidR="00A74FDA" w:rsidRPr="00415C2B" w:rsidRDefault="00A74FDA" w:rsidP="00860DE3">
            <w:pPr>
              <w:pStyle w:val="Normal6ptafter"/>
              <w:rPr>
                <w:rFonts w:ascii="TT Hoves Light" w:hAnsi="TT Hoves Light"/>
              </w:rPr>
            </w:pPr>
            <w:r w:rsidRPr="00415C2B">
              <w:rPr>
                <w:rFonts w:ascii="TT Hoves Light" w:hAnsi="TT Hoves Light"/>
              </w:rPr>
              <w:t> </w:t>
            </w:r>
          </w:p>
        </w:tc>
        <w:tc>
          <w:tcPr>
            <w:tcW w:w="3003" w:type="dxa"/>
            <w:tcBorders>
              <w:top w:val="single" w:sz="4" w:space="0" w:color="44546A" w:themeColor="text2"/>
              <w:bottom w:val="single" w:sz="4" w:space="0" w:color="44546A" w:themeColor="text2"/>
            </w:tcBorders>
            <w:vAlign w:val="center"/>
          </w:tcPr>
          <w:p w14:paraId="0F561E19" w14:textId="77777777" w:rsidR="00A74FDA" w:rsidRPr="00415C2B" w:rsidRDefault="00A74FDA" w:rsidP="00860DE3">
            <w:pPr>
              <w:pStyle w:val="Normal6ptafter"/>
              <w:rPr>
                <w:rFonts w:ascii="TT Hoves Light" w:hAnsi="TT Hoves Light"/>
              </w:rPr>
            </w:pPr>
            <w:r w:rsidRPr="00415C2B">
              <w:rPr>
                <w:rFonts w:ascii="TT Hoves Light" w:hAnsi="TT Hoves Light"/>
              </w:rPr>
              <w:t>To diversify this risk by investing in a range of credit markets across different geographies and sectors.</w:t>
            </w:r>
          </w:p>
        </w:tc>
        <w:tc>
          <w:tcPr>
            <w:tcW w:w="2404" w:type="dxa"/>
            <w:vMerge/>
            <w:vAlign w:val="center"/>
          </w:tcPr>
          <w:p w14:paraId="75CD62BF" w14:textId="77777777" w:rsidR="00A74FDA" w:rsidRPr="00415C2B" w:rsidRDefault="00A74FDA" w:rsidP="00860DE3">
            <w:pPr>
              <w:pStyle w:val="Normal6ptafter"/>
              <w:rPr>
                <w:rFonts w:ascii="TT Hoves Light" w:hAnsi="TT Hoves Light"/>
              </w:rPr>
            </w:pPr>
          </w:p>
        </w:tc>
      </w:tr>
      <w:tr w:rsidR="00A74FDA" w:rsidRPr="00415C2B" w14:paraId="6B67B8F5" w14:textId="77777777" w:rsidTr="00A262B5">
        <w:trPr>
          <w:trHeight w:val="1332"/>
        </w:trPr>
        <w:tc>
          <w:tcPr>
            <w:tcW w:w="1437" w:type="dxa"/>
            <w:tcBorders>
              <w:top w:val="nil"/>
              <w:bottom w:val="nil"/>
            </w:tcBorders>
            <w:shd w:val="clear" w:color="auto" w:fill="E7E6E6" w:themeFill="background2"/>
            <w:vAlign w:val="center"/>
          </w:tcPr>
          <w:p w14:paraId="6189E96E" w14:textId="77777777" w:rsidR="00A74FDA" w:rsidRPr="00415C2B" w:rsidRDefault="00A74FDA" w:rsidP="00860DE3">
            <w:pPr>
              <w:pStyle w:val="Normal6ptafter"/>
              <w:rPr>
                <w:rFonts w:ascii="TT Hoves Light" w:hAnsi="TT Hoves Light"/>
              </w:rPr>
            </w:pPr>
            <w:r w:rsidRPr="00415C2B">
              <w:rPr>
                <w:rFonts w:ascii="TT Hoves Light" w:hAnsi="TT Hoves Light"/>
              </w:rPr>
              <w:t>Counterparty</w:t>
            </w:r>
          </w:p>
        </w:tc>
        <w:tc>
          <w:tcPr>
            <w:tcW w:w="2512" w:type="dxa"/>
            <w:tcBorders>
              <w:top w:val="single" w:sz="4" w:space="0" w:color="44546A" w:themeColor="text2"/>
              <w:bottom w:val="single" w:sz="2" w:space="0" w:color="auto"/>
            </w:tcBorders>
            <w:vAlign w:val="center"/>
          </w:tcPr>
          <w:p w14:paraId="02CD09B7" w14:textId="77777777" w:rsidR="00A74FDA" w:rsidRPr="00415C2B" w:rsidRDefault="00A74FDA" w:rsidP="00860DE3">
            <w:pPr>
              <w:pStyle w:val="Normal6ptafter"/>
              <w:rPr>
                <w:rFonts w:ascii="TT Hoves Light" w:hAnsi="TT Hoves Light"/>
              </w:rPr>
            </w:pPr>
            <w:r w:rsidRPr="00415C2B">
              <w:rPr>
                <w:rFonts w:ascii="TT Hoves Light" w:hAnsi="TT Hoves Light"/>
              </w:rPr>
              <w:t>A counterparty fails to meet its financial transaction obligations.</w:t>
            </w:r>
          </w:p>
        </w:tc>
        <w:tc>
          <w:tcPr>
            <w:tcW w:w="3003" w:type="dxa"/>
            <w:tcBorders>
              <w:top w:val="single" w:sz="4" w:space="0" w:color="44546A" w:themeColor="text2"/>
              <w:bottom w:val="single" w:sz="2" w:space="0" w:color="auto"/>
            </w:tcBorders>
            <w:vAlign w:val="center"/>
          </w:tcPr>
          <w:p w14:paraId="0EFA6269" w14:textId="77777777" w:rsidR="00A74FDA" w:rsidRPr="00415C2B" w:rsidRDefault="00A74FDA" w:rsidP="00860DE3">
            <w:pPr>
              <w:pStyle w:val="Normal6ptafter"/>
              <w:rPr>
                <w:rFonts w:ascii="TT Hoves Light" w:hAnsi="TT Hoves Light"/>
              </w:rPr>
            </w:pPr>
            <w:r w:rsidRPr="00415C2B">
              <w:rPr>
                <w:rFonts w:ascii="TT Hoves Light" w:hAnsi="TT Hoves Light"/>
              </w:rPr>
              <w:t xml:space="preserve">To appoint investment managers who actively manage this risk by conducting a reasonable level of due diligence on counterparties they transact with, required for the Scheme investments. </w:t>
            </w:r>
          </w:p>
        </w:tc>
        <w:tc>
          <w:tcPr>
            <w:tcW w:w="2404" w:type="dxa"/>
            <w:vMerge/>
            <w:tcBorders>
              <w:bottom w:val="single" w:sz="2" w:space="0" w:color="auto"/>
            </w:tcBorders>
            <w:vAlign w:val="center"/>
          </w:tcPr>
          <w:p w14:paraId="369E2113" w14:textId="77777777" w:rsidR="00A74FDA" w:rsidRPr="00415C2B" w:rsidRDefault="00A74FDA" w:rsidP="00860DE3">
            <w:pPr>
              <w:pStyle w:val="Normal6ptafter"/>
              <w:rPr>
                <w:rFonts w:ascii="TT Hoves Light" w:hAnsi="TT Hoves Light"/>
              </w:rPr>
            </w:pPr>
          </w:p>
        </w:tc>
      </w:tr>
      <w:tr w:rsidR="00A74FDA" w:rsidRPr="00415C2B" w14:paraId="6EFBA598" w14:textId="77777777" w:rsidTr="00A262B5">
        <w:trPr>
          <w:trHeight w:val="1332"/>
        </w:trPr>
        <w:tc>
          <w:tcPr>
            <w:tcW w:w="1437" w:type="dxa"/>
            <w:tcBorders>
              <w:top w:val="nil"/>
              <w:bottom w:val="nil"/>
            </w:tcBorders>
            <w:shd w:val="clear" w:color="auto" w:fill="E7E6E6" w:themeFill="background2"/>
            <w:vAlign w:val="center"/>
          </w:tcPr>
          <w:p w14:paraId="052F6DCB" w14:textId="77777777" w:rsidR="00A74FDA" w:rsidRPr="00415C2B" w:rsidRDefault="00A74FDA" w:rsidP="00860DE3">
            <w:pPr>
              <w:pStyle w:val="Normal6ptafter"/>
              <w:rPr>
                <w:rFonts w:ascii="TT Hoves Light" w:hAnsi="TT Hoves Light"/>
              </w:rPr>
            </w:pPr>
            <w:r w:rsidRPr="00415C2B">
              <w:rPr>
                <w:rFonts w:ascii="TT Hoves Light" w:hAnsi="TT Hoves Light"/>
              </w:rPr>
              <w:t>Concentration</w:t>
            </w:r>
          </w:p>
        </w:tc>
        <w:tc>
          <w:tcPr>
            <w:tcW w:w="2512" w:type="dxa"/>
            <w:tcBorders>
              <w:top w:val="single" w:sz="2" w:space="0" w:color="auto"/>
              <w:bottom w:val="single" w:sz="4" w:space="0" w:color="44546A" w:themeColor="text2"/>
            </w:tcBorders>
            <w:vAlign w:val="center"/>
          </w:tcPr>
          <w:p w14:paraId="0793AFAF" w14:textId="77777777" w:rsidR="00A74FDA" w:rsidRPr="00415C2B" w:rsidRDefault="00A74FDA" w:rsidP="00860DE3">
            <w:pPr>
              <w:pStyle w:val="Normal6ptafter"/>
              <w:rPr>
                <w:rFonts w:ascii="TT Hoves Light" w:hAnsi="TT Hoves Light"/>
              </w:rPr>
            </w:pPr>
            <w:r w:rsidRPr="00415C2B">
              <w:rPr>
                <w:rFonts w:ascii="TT Hoves Light" w:hAnsi="TT Hoves Light"/>
              </w:rPr>
              <w:t>Excessive exposure to a single issue/stock/sector etc. which has a potentially disproportionate impact on the Scheme’s investments.</w:t>
            </w:r>
          </w:p>
        </w:tc>
        <w:tc>
          <w:tcPr>
            <w:tcW w:w="3003" w:type="dxa"/>
            <w:tcBorders>
              <w:top w:val="single" w:sz="2" w:space="0" w:color="auto"/>
              <w:bottom w:val="single" w:sz="4" w:space="0" w:color="44546A" w:themeColor="text2"/>
            </w:tcBorders>
            <w:vAlign w:val="center"/>
          </w:tcPr>
          <w:p w14:paraId="47C7831F" w14:textId="77777777" w:rsidR="00A74FDA" w:rsidRPr="00415C2B" w:rsidRDefault="00A74FDA" w:rsidP="00860DE3">
            <w:pPr>
              <w:pStyle w:val="Normal6ptafter"/>
              <w:rPr>
                <w:rFonts w:ascii="TT Hoves Light" w:hAnsi="TT Hoves Light"/>
              </w:rPr>
            </w:pPr>
            <w:r w:rsidRPr="00415C2B">
              <w:rPr>
                <w:rFonts w:ascii="TT Hoves Light" w:hAnsi="TT Hoves Light"/>
              </w:rPr>
              <w:t>To diversify this risk by investing in a range of asset classes to mitigate concentration risk where appropriate.</w:t>
            </w:r>
          </w:p>
        </w:tc>
        <w:tc>
          <w:tcPr>
            <w:tcW w:w="2404" w:type="dxa"/>
            <w:vMerge/>
            <w:tcBorders>
              <w:top w:val="single" w:sz="2" w:space="0" w:color="auto"/>
            </w:tcBorders>
            <w:vAlign w:val="center"/>
          </w:tcPr>
          <w:p w14:paraId="4BFE1F17" w14:textId="77777777" w:rsidR="00A74FDA" w:rsidRPr="00415C2B" w:rsidRDefault="00A74FDA" w:rsidP="00860DE3">
            <w:pPr>
              <w:pStyle w:val="Normal6ptafter"/>
              <w:rPr>
                <w:rFonts w:ascii="TT Hoves Light" w:hAnsi="TT Hoves Light"/>
              </w:rPr>
            </w:pPr>
          </w:p>
        </w:tc>
      </w:tr>
      <w:tr w:rsidR="00A74FDA" w:rsidRPr="00415C2B" w14:paraId="7220B385" w14:textId="77777777" w:rsidTr="00823861">
        <w:trPr>
          <w:trHeight w:val="1332"/>
        </w:trPr>
        <w:tc>
          <w:tcPr>
            <w:tcW w:w="1437" w:type="dxa"/>
            <w:tcBorders>
              <w:top w:val="nil"/>
              <w:bottom w:val="nil"/>
            </w:tcBorders>
            <w:shd w:val="clear" w:color="auto" w:fill="E7E6E6" w:themeFill="background2"/>
            <w:vAlign w:val="center"/>
          </w:tcPr>
          <w:p w14:paraId="470CBC2B" w14:textId="77777777" w:rsidR="00A74FDA" w:rsidRPr="00415C2B" w:rsidRDefault="00A74FDA" w:rsidP="00860DE3">
            <w:pPr>
              <w:pStyle w:val="Normal6ptafter"/>
              <w:rPr>
                <w:rFonts w:ascii="TT Hoves Light" w:hAnsi="TT Hoves Light"/>
              </w:rPr>
            </w:pPr>
            <w:r w:rsidRPr="00415C2B">
              <w:rPr>
                <w:rFonts w:ascii="TT Hoves Light" w:hAnsi="TT Hoves Light"/>
              </w:rPr>
              <w:lastRenderedPageBreak/>
              <w:t>Reinvestment</w:t>
            </w:r>
          </w:p>
        </w:tc>
        <w:tc>
          <w:tcPr>
            <w:tcW w:w="2512" w:type="dxa"/>
            <w:tcBorders>
              <w:top w:val="single" w:sz="4" w:space="0" w:color="44546A" w:themeColor="text2"/>
              <w:bottom w:val="single" w:sz="4" w:space="0" w:color="44546A" w:themeColor="text2"/>
            </w:tcBorders>
            <w:vAlign w:val="center"/>
          </w:tcPr>
          <w:p w14:paraId="4E9B9284" w14:textId="77777777" w:rsidR="00A74FDA" w:rsidRPr="00415C2B" w:rsidRDefault="00A74FDA" w:rsidP="00860DE3">
            <w:pPr>
              <w:pStyle w:val="Normal6ptafter"/>
              <w:rPr>
                <w:rFonts w:ascii="TT Hoves Light" w:hAnsi="TT Hoves Light"/>
              </w:rPr>
            </w:pPr>
            <w:r w:rsidRPr="00415C2B">
              <w:rPr>
                <w:rFonts w:ascii="TT Hoves Light" w:hAnsi="TT Hoves Light"/>
              </w:rPr>
              <w:t>Proceeds from the payment of principal and interest which may be reinvested at a lower rate than the original investment.</w:t>
            </w:r>
          </w:p>
        </w:tc>
        <w:tc>
          <w:tcPr>
            <w:tcW w:w="3003" w:type="dxa"/>
            <w:tcBorders>
              <w:top w:val="single" w:sz="4" w:space="0" w:color="44546A" w:themeColor="text2"/>
              <w:bottom w:val="single" w:sz="4" w:space="0" w:color="44546A" w:themeColor="text2"/>
            </w:tcBorders>
            <w:vAlign w:val="center"/>
          </w:tcPr>
          <w:p w14:paraId="4150A413" w14:textId="77777777" w:rsidR="00A74FDA" w:rsidRPr="00415C2B" w:rsidRDefault="00A74FDA" w:rsidP="00860DE3">
            <w:pPr>
              <w:pStyle w:val="Normal6ptafter"/>
              <w:rPr>
                <w:rFonts w:ascii="TT Hoves Light" w:hAnsi="TT Hoves Light"/>
              </w:rPr>
            </w:pPr>
            <w:r w:rsidRPr="00415C2B">
              <w:rPr>
                <w:rFonts w:ascii="TT Hoves Light" w:hAnsi="TT Hoves Light"/>
              </w:rPr>
              <w:t>To diversify this risk by investing in a range of alternative asset classes where appropriate in line with the Scheme’s long-term return objective, which may potentially offer higher returns than the original investment.</w:t>
            </w:r>
          </w:p>
        </w:tc>
        <w:tc>
          <w:tcPr>
            <w:tcW w:w="2404" w:type="dxa"/>
            <w:vMerge/>
            <w:vAlign w:val="center"/>
          </w:tcPr>
          <w:p w14:paraId="4DB349BD" w14:textId="77777777" w:rsidR="00A74FDA" w:rsidRPr="00415C2B" w:rsidRDefault="00A74FDA" w:rsidP="00860DE3">
            <w:pPr>
              <w:pStyle w:val="Normal6ptafter"/>
              <w:rPr>
                <w:rFonts w:ascii="TT Hoves Light" w:hAnsi="TT Hoves Light"/>
              </w:rPr>
            </w:pPr>
          </w:p>
        </w:tc>
      </w:tr>
      <w:tr w:rsidR="00A74FDA" w:rsidRPr="00415C2B" w14:paraId="1E5F8E3A" w14:textId="77777777" w:rsidTr="00F8424B">
        <w:trPr>
          <w:trHeight w:val="1332"/>
        </w:trPr>
        <w:tc>
          <w:tcPr>
            <w:tcW w:w="1437" w:type="dxa"/>
            <w:tcBorders>
              <w:top w:val="nil"/>
              <w:bottom w:val="nil"/>
            </w:tcBorders>
            <w:shd w:val="clear" w:color="auto" w:fill="E7E6E6" w:themeFill="background2"/>
            <w:vAlign w:val="center"/>
          </w:tcPr>
          <w:p w14:paraId="6B93E9AD" w14:textId="77777777" w:rsidR="00A74FDA" w:rsidRPr="00415C2B" w:rsidRDefault="00A74FDA" w:rsidP="00860DE3">
            <w:pPr>
              <w:pStyle w:val="Normal6ptafter"/>
              <w:rPr>
                <w:rFonts w:ascii="TT Hoves Light" w:hAnsi="TT Hoves Light"/>
              </w:rPr>
            </w:pPr>
            <w:r w:rsidRPr="00415C2B">
              <w:rPr>
                <w:rFonts w:ascii="TT Hoves Light" w:hAnsi="TT Hoves Light"/>
              </w:rPr>
              <w:t>Environmental, Social and Governance</w:t>
            </w:r>
          </w:p>
        </w:tc>
        <w:tc>
          <w:tcPr>
            <w:tcW w:w="2512" w:type="dxa"/>
            <w:tcBorders>
              <w:top w:val="single" w:sz="4" w:space="0" w:color="44546A" w:themeColor="text2"/>
              <w:bottom w:val="single" w:sz="4" w:space="0" w:color="44546A" w:themeColor="text2"/>
            </w:tcBorders>
            <w:vAlign w:val="center"/>
          </w:tcPr>
          <w:p w14:paraId="24789580" w14:textId="77777777" w:rsidR="00A74FDA" w:rsidRPr="00415C2B" w:rsidRDefault="00A74FDA" w:rsidP="00860DE3">
            <w:pPr>
              <w:pStyle w:val="Normal6ptafter"/>
              <w:rPr>
                <w:rFonts w:ascii="TT Hoves Light" w:hAnsi="TT Hoves Light"/>
              </w:rPr>
            </w:pPr>
            <w:r w:rsidRPr="00415C2B">
              <w:rPr>
                <w:rFonts w:ascii="TT Hoves Light" w:hAnsi="TT Hoves Light"/>
              </w:rPr>
              <w:t>Exposure to environmental, social and governance factors, including but not limited to climate change, which can impact the performance of Scheme investments.</w:t>
            </w:r>
          </w:p>
        </w:tc>
        <w:tc>
          <w:tcPr>
            <w:tcW w:w="3003" w:type="dxa"/>
            <w:tcBorders>
              <w:top w:val="single" w:sz="4" w:space="0" w:color="44546A" w:themeColor="text2"/>
              <w:bottom w:val="single" w:sz="4" w:space="0" w:color="44546A" w:themeColor="text2"/>
            </w:tcBorders>
            <w:vAlign w:val="center"/>
          </w:tcPr>
          <w:p w14:paraId="410C0885" w14:textId="77777777" w:rsidR="00A74FDA" w:rsidRPr="00415C2B" w:rsidRDefault="00A74FDA" w:rsidP="00860DE3">
            <w:pPr>
              <w:pStyle w:val="Normal6ptafter"/>
              <w:rPr>
                <w:rFonts w:ascii="TT Hoves Light" w:hAnsi="TT Hoves Light"/>
              </w:rPr>
            </w:pPr>
            <w:r w:rsidRPr="00415C2B">
              <w:rPr>
                <w:rFonts w:ascii="TT Hoves Light" w:hAnsi="TT Hoves Light"/>
              </w:rPr>
              <w:t xml:space="preserve">All decisions about the day-to-day management of the assets have been delegated to the investment managers. The delegation includes decisions about Social, Environmental, Ethical and Governance considerations in selection, </w:t>
            </w:r>
            <w:proofErr w:type="gramStart"/>
            <w:r w:rsidRPr="00415C2B">
              <w:rPr>
                <w:rFonts w:ascii="TT Hoves Light" w:hAnsi="TT Hoves Light"/>
              </w:rPr>
              <w:t>retention</w:t>
            </w:r>
            <w:proofErr w:type="gramEnd"/>
            <w:r w:rsidRPr="00415C2B">
              <w:rPr>
                <w:rFonts w:ascii="TT Hoves Light" w:hAnsi="TT Hoves Light"/>
              </w:rPr>
              <w:t xml:space="preserve"> and realisation of investments.</w:t>
            </w:r>
          </w:p>
        </w:tc>
        <w:tc>
          <w:tcPr>
            <w:tcW w:w="2404" w:type="dxa"/>
            <w:vMerge/>
            <w:vAlign w:val="center"/>
          </w:tcPr>
          <w:p w14:paraId="204BFE17" w14:textId="77777777" w:rsidR="00A74FDA" w:rsidRPr="00415C2B" w:rsidRDefault="00A74FDA" w:rsidP="007D1903">
            <w:pPr>
              <w:pStyle w:val="Normal6ptafter"/>
              <w:rPr>
                <w:rFonts w:ascii="TT Hoves Light" w:hAnsi="TT Hoves Light"/>
              </w:rPr>
            </w:pPr>
          </w:p>
        </w:tc>
      </w:tr>
      <w:tr w:rsidR="00A74FDA" w:rsidRPr="00415C2B" w14:paraId="4ED71C57" w14:textId="77777777" w:rsidTr="00F8424B">
        <w:trPr>
          <w:trHeight w:val="1332"/>
        </w:trPr>
        <w:tc>
          <w:tcPr>
            <w:tcW w:w="1437" w:type="dxa"/>
            <w:tcBorders>
              <w:top w:val="nil"/>
              <w:bottom w:val="nil"/>
            </w:tcBorders>
            <w:shd w:val="clear" w:color="auto" w:fill="E7E6E6" w:themeFill="background2"/>
            <w:vAlign w:val="center"/>
          </w:tcPr>
          <w:p w14:paraId="7E69B6ED" w14:textId="3ACEEF0B" w:rsidR="00A74FDA" w:rsidRPr="00415C2B" w:rsidRDefault="00A74FDA" w:rsidP="00860DE3">
            <w:pPr>
              <w:pStyle w:val="Normal6ptafter"/>
              <w:rPr>
                <w:rFonts w:ascii="TT Hoves Light" w:hAnsi="TT Hoves Light"/>
              </w:rPr>
            </w:pPr>
            <w:r>
              <w:rPr>
                <w:rFonts w:ascii="TT Hoves Light" w:hAnsi="TT Hoves Light"/>
              </w:rPr>
              <w:t>Covenant</w:t>
            </w:r>
          </w:p>
        </w:tc>
        <w:tc>
          <w:tcPr>
            <w:tcW w:w="2512" w:type="dxa"/>
            <w:tcBorders>
              <w:top w:val="single" w:sz="4" w:space="0" w:color="44546A" w:themeColor="text2"/>
              <w:bottom w:val="single" w:sz="4" w:space="0" w:color="44546A" w:themeColor="text2"/>
            </w:tcBorders>
            <w:vAlign w:val="center"/>
          </w:tcPr>
          <w:p w14:paraId="389B8E25" w14:textId="30F58EF2" w:rsidR="00A74FDA" w:rsidRPr="00415C2B" w:rsidRDefault="00A74FDA" w:rsidP="00860DE3">
            <w:pPr>
              <w:pStyle w:val="Normal6ptafter"/>
              <w:rPr>
                <w:rFonts w:ascii="TT Hoves Light" w:hAnsi="TT Hoves Light"/>
              </w:rPr>
            </w:pPr>
            <w:r>
              <w:rPr>
                <w:rFonts w:ascii="TT Hoves Light" w:hAnsi="TT Hoves Light"/>
              </w:rPr>
              <w:t>T</w:t>
            </w:r>
            <w:r w:rsidRPr="00A74FDA">
              <w:rPr>
                <w:rFonts w:ascii="TT Hoves Light" w:hAnsi="TT Hoves Light"/>
              </w:rPr>
              <w:t xml:space="preserve">he possibility of failure of the Scheme’s sponsoring employer. </w:t>
            </w:r>
          </w:p>
        </w:tc>
        <w:tc>
          <w:tcPr>
            <w:tcW w:w="3003" w:type="dxa"/>
            <w:tcBorders>
              <w:top w:val="single" w:sz="4" w:space="0" w:color="44546A" w:themeColor="text2"/>
              <w:bottom w:val="single" w:sz="4" w:space="0" w:color="44546A" w:themeColor="text2"/>
            </w:tcBorders>
            <w:vAlign w:val="center"/>
          </w:tcPr>
          <w:p w14:paraId="42A8F895" w14:textId="348424A5" w:rsidR="00A74FDA" w:rsidRPr="00415C2B" w:rsidRDefault="00A74FDA" w:rsidP="00860DE3">
            <w:pPr>
              <w:pStyle w:val="Normal6ptafter"/>
              <w:rPr>
                <w:rFonts w:ascii="TT Hoves Light" w:hAnsi="TT Hoves Light"/>
              </w:rPr>
            </w:pPr>
            <w:r w:rsidRPr="00A74FDA">
              <w:rPr>
                <w:rFonts w:ascii="TT Hoves Light" w:hAnsi="TT Hoves Light"/>
              </w:rPr>
              <w:t>The Trustee and its advisers considered this risk when setting investment strategy and consulted with the sponsoring employer as to the suitability of the proposed strategy.</w:t>
            </w:r>
          </w:p>
        </w:tc>
        <w:tc>
          <w:tcPr>
            <w:tcW w:w="2404" w:type="dxa"/>
            <w:vMerge/>
            <w:vAlign w:val="center"/>
          </w:tcPr>
          <w:p w14:paraId="67554F7B" w14:textId="77777777" w:rsidR="00A74FDA" w:rsidRPr="00415C2B" w:rsidRDefault="00A74FDA" w:rsidP="007D1903">
            <w:pPr>
              <w:pStyle w:val="Normal6ptafter"/>
              <w:rPr>
                <w:rFonts w:ascii="TT Hoves Light" w:hAnsi="TT Hoves Light"/>
              </w:rPr>
            </w:pPr>
          </w:p>
        </w:tc>
      </w:tr>
      <w:tr w:rsidR="00735035" w:rsidRPr="00415C2B" w14:paraId="75C08D55" w14:textId="77777777" w:rsidTr="00F8424B">
        <w:trPr>
          <w:trHeight w:val="1332"/>
        </w:trPr>
        <w:tc>
          <w:tcPr>
            <w:tcW w:w="1437" w:type="dxa"/>
            <w:tcBorders>
              <w:top w:val="nil"/>
              <w:bottom w:val="nil"/>
            </w:tcBorders>
            <w:shd w:val="clear" w:color="auto" w:fill="E7E6E6" w:themeFill="background2"/>
            <w:vAlign w:val="center"/>
          </w:tcPr>
          <w:p w14:paraId="1523B115" w14:textId="1252818D" w:rsidR="00735035" w:rsidRPr="00415C2B" w:rsidRDefault="00735035" w:rsidP="00860DE3">
            <w:pPr>
              <w:pStyle w:val="Normal6ptafter"/>
              <w:rPr>
                <w:rFonts w:ascii="TT Hoves Light" w:hAnsi="TT Hoves Light"/>
              </w:rPr>
            </w:pPr>
            <w:r>
              <w:rPr>
                <w:rFonts w:ascii="TT Hoves Light" w:hAnsi="TT Hoves Light"/>
              </w:rPr>
              <w:t>Lack of diversification</w:t>
            </w:r>
          </w:p>
        </w:tc>
        <w:tc>
          <w:tcPr>
            <w:tcW w:w="2512" w:type="dxa"/>
            <w:tcBorders>
              <w:top w:val="single" w:sz="4" w:space="0" w:color="44546A" w:themeColor="text2"/>
              <w:bottom w:val="single" w:sz="4" w:space="0" w:color="44546A" w:themeColor="text2"/>
            </w:tcBorders>
            <w:vAlign w:val="center"/>
          </w:tcPr>
          <w:p w14:paraId="154D3BFD" w14:textId="570EBEB3" w:rsidR="00735035" w:rsidRPr="00415C2B" w:rsidRDefault="00735035" w:rsidP="00860DE3">
            <w:pPr>
              <w:pStyle w:val="Normal6ptafter"/>
              <w:rPr>
                <w:rFonts w:ascii="TT Hoves Light" w:hAnsi="TT Hoves Light"/>
              </w:rPr>
            </w:pPr>
            <w:r w:rsidRPr="00735035">
              <w:rPr>
                <w:rFonts w:ascii="TT Hoves Light" w:hAnsi="TT Hoves Light"/>
              </w:rPr>
              <w:t xml:space="preserve">The </w:t>
            </w:r>
            <w:r>
              <w:rPr>
                <w:rFonts w:ascii="TT Hoves Light" w:hAnsi="TT Hoves Light"/>
              </w:rPr>
              <w:t xml:space="preserve">failure </w:t>
            </w:r>
            <w:r w:rsidRPr="00735035">
              <w:rPr>
                <w:rFonts w:ascii="TT Hoves Light" w:hAnsi="TT Hoves Light"/>
              </w:rPr>
              <w:t>to spread investment risk</w:t>
            </w:r>
            <w:r>
              <w:rPr>
                <w:rFonts w:ascii="TT Hoves Light" w:hAnsi="TT Hoves Light"/>
              </w:rPr>
              <w:t>.</w:t>
            </w:r>
          </w:p>
        </w:tc>
        <w:tc>
          <w:tcPr>
            <w:tcW w:w="3003" w:type="dxa"/>
            <w:tcBorders>
              <w:top w:val="single" w:sz="4" w:space="0" w:color="44546A" w:themeColor="text2"/>
              <w:bottom w:val="single" w:sz="4" w:space="0" w:color="44546A" w:themeColor="text2"/>
            </w:tcBorders>
            <w:vAlign w:val="center"/>
          </w:tcPr>
          <w:p w14:paraId="4F0305B7" w14:textId="45D30884" w:rsidR="00735035" w:rsidRPr="00415C2B" w:rsidRDefault="00735035" w:rsidP="00860DE3">
            <w:pPr>
              <w:pStyle w:val="Normal6ptafter"/>
              <w:rPr>
                <w:rFonts w:ascii="TT Hoves Light" w:hAnsi="TT Hoves Light"/>
              </w:rPr>
            </w:pPr>
            <w:r w:rsidRPr="00735035">
              <w:rPr>
                <w:rFonts w:ascii="TT Hoves Light" w:hAnsi="TT Hoves Light"/>
              </w:rPr>
              <w:t>The Trustee and their advisers considered this (and potential counterparty) risk when setting the Scheme’s investment strategy but paid regard to the overall objective of securing members’ benefits.</w:t>
            </w:r>
          </w:p>
        </w:tc>
        <w:tc>
          <w:tcPr>
            <w:tcW w:w="2404" w:type="dxa"/>
            <w:vAlign w:val="center"/>
          </w:tcPr>
          <w:p w14:paraId="41FF2F26" w14:textId="77777777" w:rsidR="00735035" w:rsidRPr="00415C2B" w:rsidRDefault="00735035" w:rsidP="007D1903">
            <w:pPr>
              <w:pStyle w:val="Normal6ptafter"/>
              <w:rPr>
                <w:rFonts w:ascii="TT Hoves Light" w:hAnsi="TT Hoves Light"/>
              </w:rPr>
            </w:pPr>
          </w:p>
        </w:tc>
      </w:tr>
      <w:tr w:rsidR="00F8424B" w:rsidRPr="00415C2B" w14:paraId="4A469F32" w14:textId="77777777" w:rsidTr="00823861">
        <w:trPr>
          <w:trHeight w:val="1332"/>
        </w:trPr>
        <w:tc>
          <w:tcPr>
            <w:tcW w:w="1437" w:type="dxa"/>
            <w:tcBorders>
              <w:top w:val="nil"/>
              <w:bottom w:val="nil"/>
            </w:tcBorders>
            <w:shd w:val="clear" w:color="auto" w:fill="E7E6E6" w:themeFill="background2"/>
            <w:vAlign w:val="center"/>
          </w:tcPr>
          <w:p w14:paraId="27BB866F" w14:textId="5EF07DB6" w:rsidR="00F8424B" w:rsidRPr="00415C2B" w:rsidRDefault="00F8424B" w:rsidP="00860DE3">
            <w:pPr>
              <w:pStyle w:val="Normal6ptafter"/>
              <w:rPr>
                <w:rFonts w:ascii="TT Hoves Light" w:hAnsi="TT Hoves Light"/>
              </w:rPr>
            </w:pPr>
            <w:r>
              <w:rPr>
                <w:rFonts w:ascii="TT Hoves Light" w:hAnsi="TT Hoves Light"/>
              </w:rPr>
              <w:t>Operational</w:t>
            </w:r>
          </w:p>
        </w:tc>
        <w:tc>
          <w:tcPr>
            <w:tcW w:w="2512" w:type="dxa"/>
            <w:tcBorders>
              <w:top w:val="single" w:sz="4" w:space="0" w:color="44546A" w:themeColor="text2"/>
              <w:bottom w:val="single" w:sz="4" w:space="0" w:color="44546A" w:themeColor="text2"/>
            </w:tcBorders>
            <w:vAlign w:val="center"/>
          </w:tcPr>
          <w:p w14:paraId="602106F2" w14:textId="13524E70" w:rsidR="00F8424B" w:rsidRPr="00415C2B" w:rsidRDefault="00265118" w:rsidP="00860DE3">
            <w:pPr>
              <w:pStyle w:val="Normal6ptafter"/>
              <w:rPr>
                <w:rFonts w:ascii="TT Hoves Light" w:hAnsi="TT Hoves Light"/>
              </w:rPr>
            </w:pPr>
            <w:r w:rsidRPr="00265118">
              <w:rPr>
                <w:rFonts w:ascii="TT Hoves Light" w:hAnsi="TT Hoves Light"/>
              </w:rPr>
              <w:t>The risk of fraud, poor advice or acts of negligence</w:t>
            </w:r>
            <w:r>
              <w:rPr>
                <w:rFonts w:ascii="TT Hoves Light" w:hAnsi="TT Hoves Light"/>
              </w:rPr>
              <w:t xml:space="preserve">. </w:t>
            </w:r>
          </w:p>
        </w:tc>
        <w:tc>
          <w:tcPr>
            <w:tcW w:w="3003" w:type="dxa"/>
            <w:tcBorders>
              <w:top w:val="single" w:sz="4" w:space="0" w:color="44546A" w:themeColor="text2"/>
              <w:bottom w:val="single" w:sz="4" w:space="0" w:color="44546A" w:themeColor="text2"/>
            </w:tcBorders>
            <w:vAlign w:val="center"/>
          </w:tcPr>
          <w:p w14:paraId="6E145BB6" w14:textId="7E461CE0" w:rsidR="00F8424B" w:rsidRPr="00415C2B" w:rsidRDefault="003B1769" w:rsidP="00860DE3">
            <w:pPr>
              <w:pStyle w:val="Normal6ptafter"/>
              <w:rPr>
                <w:rFonts w:ascii="TT Hoves Light" w:hAnsi="TT Hoves Light"/>
              </w:rPr>
            </w:pPr>
            <w:r w:rsidRPr="00AE0FA6">
              <w:rPr>
                <w:rFonts w:ascii="TT Hoves Light" w:hAnsi="TT Hoves Light"/>
              </w:rPr>
              <w:t xml:space="preserve">The Trustee has sought to minimise such risk by ensuring that all advisers and </w:t>
            </w:r>
            <w:proofErr w:type="gramStart"/>
            <w:r w:rsidRPr="00AE0FA6">
              <w:rPr>
                <w:rFonts w:ascii="TT Hoves Light" w:hAnsi="TT Hoves Light"/>
              </w:rPr>
              <w:t>third party</w:t>
            </w:r>
            <w:proofErr w:type="gramEnd"/>
            <w:r w:rsidRPr="00AE0FA6">
              <w:rPr>
                <w:rFonts w:ascii="TT Hoves Light" w:hAnsi="TT Hoves Light"/>
              </w:rPr>
              <w:t xml:space="preserve"> service providers are suitably qualified and experienced and that suitable liability and compensation clauses are included in all contracts for professional services received.</w:t>
            </w:r>
          </w:p>
        </w:tc>
        <w:tc>
          <w:tcPr>
            <w:tcW w:w="2404" w:type="dxa"/>
            <w:tcBorders>
              <w:bottom w:val="single" w:sz="4" w:space="0" w:color="44546A" w:themeColor="text2"/>
            </w:tcBorders>
            <w:vAlign w:val="center"/>
          </w:tcPr>
          <w:p w14:paraId="1E0F413E" w14:textId="62CEC944" w:rsidR="00F8424B" w:rsidRPr="00415C2B" w:rsidRDefault="00F8424B" w:rsidP="007D1903">
            <w:pPr>
              <w:pStyle w:val="Normal6ptafter"/>
              <w:rPr>
                <w:rFonts w:ascii="TT Hoves Light" w:hAnsi="TT Hoves Light"/>
              </w:rPr>
            </w:pPr>
          </w:p>
        </w:tc>
      </w:tr>
    </w:tbl>
    <w:p w14:paraId="1445A0F5" w14:textId="77777777" w:rsidR="00415C2B" w:rsidRPr="00415C2B" w:rsidRDefault="00415C2B">
      <w:pPr>
        <w:rPr>
          <w:rFonts w:ascii="TT Hoves Light" w:hAnsi="TT Hoves Light"/>
        </w:rPr>
      </w:pPr>
    </w:p>
    <w:p w14:paraId="7DF927DF" w14:textId="77777777" w:rsidR="00BE4793" w:rsidRDefault="00BE4793">
      <w:pPr>
        <w:rPr>
          <w:rFonts w:ascii="TT Hoves Medium" w:hAnsi="TT Hoves Medium" w:cs="Arial"/>
          <w:color w:val="000000"/>
          <w:sz w:val="20"/>
          <w:szCs w:val="20"/>
        </w:rPr>
      </w:pPr>
    </w:p>
    <w:p w14:paraId="358ABACA" w14:textId="77777777" w:rsidR="003B1769" w:rsidRDefault="003B1769">
      <w:pPr>
        <w:rPr>
          <w:rFonts w:ascii="TT Hoves Medium" w:hAnsi="TT Hoves Medium" w:cs="Arial"/>
          <w:color w:val="000000"/>
          <w:sz w:val="20"/>
          <w:szCs w:val="20"/>
        </w:rPr>
      </w:pPr>
    </w:p>
    <w:p w14:paraId="31773E29" w14:textId="02E20FF4" w:rsidR="00415C2B" w:rsidRDefault="00415C2B">
      <w:pPr>
        <w:rPr>
          <w:rFonts w:ascii="TT Hoves Medium" w:hAnsi="TT Hoves Medium" w:cs="Arial"/>
          <w:color w:val="000000"/>
          <w:sz w:val="20"/>
          <w:szCs w:val="20"/>
        </w:rPr>
      </w:pPr>
      <w:r>
        <w:rPr>
          <w:rFonts w:ascii="TT Hoves Medium" w:hAnsi="TT Hoves Medium" w:cs="Arial"/>
          <w:color w:val="000000"/>
          <w:sz w:val="20"/>
          <w:szCs w:val="20"/>
        </w:rPr>
        <w:t>Changes to the SIP</w:t>
      </w:r>
    </w:p>
    <w:p w14:paraId="6A556662" w14:textId="0728AA69" w:rsidR="00415C2B" w:rsidRDefault="00415C2B">
      <w:pPr>
        <w:rPr>
          <w:rFonts w:ascii="TT Hoves Light" w:hAnsi="TT Hoves Light"/>
        </w:rPr>
      </w:pPr>
    </w:p>
    <w:tbl>
      <w:tblPr>
        <w:tblStyle w:val="IsioDarkHeader"/>
        <w:tblW w:w="0" w:type="auto"/>
        <w:tblLook w:val="04A0" w:firstRow="1" w:lastRow="0" w:firstColumn="1" w:lastColumn="0" w:noHBand="0" w:noVBand="1"/>
      </w:tblPr>
      <w:tblGrid>
        <w:gridCol w:w="4407"/>
        <w:gridCol w:w="4409"/>
      </w:tblGrid>
      <w:tr w:rsidR="0090487A" w:rsidRPr="0090487A" w14:paraId="3DBF1885" w14:textId="77777777" w:rsidTr="0090487A">
        <w:trPr>
          <w:cnfStyle w:val="100000000000" w:firstRow="1" w:lastRow="0" w:firstColumn="0" w:lastColumn="0" w:oddVBand="0" w:evenVBand="0" w:oddHBand="0" w:evenHBand="0" w:firstRowFirstColumn="0" w:firstRowLastColumn="0" w:lastRowFirstColumn="0" w:lastRowLastColumn="0"/>
          <w:trHeight w:val="646"/>
        </w:trPr>
        <w:tc>
          <w:tcPr>
            <w:tcW w:w="4407" w:type="dxa"/>
            <w:shd w:val="clear" w:color="auto" w:fill="00BA8D"/>
            <w:vAlign w:val="center"/>
          </w:tcPr>
          <w:p w14:paraId="43761B31" w14:textId="77777777" w:rsidR="0090487A" w:rsidRPr="0090487A" w:rsidRDefault="0090487A" w:rsidP="00860DE3">
            <w:pPr>
              <w:autoSpaceDE w:val="0"/>
              <w:autoSpaceDN w:val="0"/>
              <w:adjustRightInd w:val="0"/>
              <w:rPr>
                <w:rFonts w:ascii="TT Hoves Light" w:hAnsi="TT Hoves Light" w:cs="TimesNewRoman"/>
              </w:rPr>
            </w:pPr>
            <w:r w:rsidRPr="0090487A">
              <w:rPr>
                <w:rFonts w:ascii="TT Hoves Light" w:hAnsi="TT Hoves Light" w:cs="TimesNewRoman"/>
              </w:rPr>
              <w:t>Policies added to the SIP</w:t>
            </w:r>
          </w:p>
        </w:tc>
        <w:tc>
          <w:tcPr>
            <w:tcW w:w="4409" w:type="dxa"/>
            <w:shd w:val="clear" w:color="auto" w:fill="00BA8D"/>
            <w:vAlign w:val="center"/>
          </w:tcPr>
          <w:p w14:paraId="24FDF57A" w14:textId="77777777" w:rsidR="0090487A" w:rsidRPr="0090487A" w:rsidRDefault="0090487A" w:rsidP="00860DE3">
            <w:pPr>
              <w:autoSpaceDE w:val="0"/>
              <w:autoSpaceDN w:val="0"/>
              <w:adjustRightInd w:val="0"/>
              <w:rPr>
                <w:rFonts w:ascii="TT Hoves Light" w:hAnsi="TT Hoves Light" w:cs="TimesNewRoman"/>
              </w:rPr>
            </w:pPr>
          </w:p>
        </w:tc>
      </w:tr>
      <w:tr w:rsidR="0090487A" w:rsidRPr="0090487A" w14:paraId="7C60CA1A" w14:textId="77777777" w:rsidTr="00AE0FA6">
        <w:trPr>
          <w:trHeight w:val="1098"/>
        </w:trPr>
        <w:tc>
          <w:tcPr>
            <w:tcW w:w="4407" w:type="dxa"/>
            <w:shd w:val="clear" w:color="auto" w:fill="E7E6E6"/>
            <w:vAlign w:val="center"/>
          </w:tcPr>
          <w:p w14:paraId="14EE0BC7" w14:textId="67AEDE7F" w:rsidR="0090487A" w:rsidRPr="0090487A" w:rsidRDefault="004167D8" w:rsidP="00860DE3">
            <w:pPr>
              <w:autoSpaceDE w:val="0"/>
              <w:autoSpaceDN w:val="0"/>
              <w:adjustRightInd w:val="0"/>
              <w:rPr>
                <w:rFonts w:ascii="TT Hoves Light" w:hAnsi="TT Hoves Light" w:cs="TimesNewRoman"/>
              </w:rPr>
            </w:pPr>
            <w:r>
              <w:rPr>
                <w:rFonts w:ascii="TT Hoves Light" w:hAnsi="TT Hoves Light" w:cs="TimesNewRoman"/>
              </w:rPr>
              <w:t>Buy in policy</w:t>
            </w:r>
          </w:p>
        </w:tc>
        <w:tc>
          <w:tcPr>
            <w:tcW w:w="4409" w:type="dxa"/>
            <w:shd w:val="clear" w:color="auto" w:fill="auto"/>
            <w:vAlign w:val="center"/>
          </w:tcPr>
          <w:p w14:paraId="6A348860" w14:textId="31AE8908" w:rsidR="0090487A" w:rsidRPr="0090487A" w:rsidRDefault="004167D8" w:rsidP="00AE0FA6">
            <w:pPr>
              <w:autoSpaceDE w:val="0"/>
              <w:autoSpaceDN w:val="0"/>
              <w:adjustRightInd w:val="0"/>
              <w:rPr>
                <w:rFonts w:ascii="TT Hoves Light" w:hAnsi="TT Hoves Light" w:cs="TimesNewRoman"/>
              </w:rPr>
            </w:pPr>
            <w:r>
              <w:rPr>
                <w:rFonts w:ascii="TT Hoves Light" w:hAnsi="TT Hoves Light" w:cs="TimesNewRoman"/>
              </w:rPr>
              <w:t>The SIP was update</w:t>
            </w:r>
            <w:r w:rsidR="003B1769">
              <w:rPr>
                <w:rFonts w:ascii="TT Hoves Light" w:hAnsi="TT Hoves Light" w:cs="TimesNewRoman"/>
              </w:rPr>
              <w:t>d</w:t>
            </w:r>
            <w:r>
              <w:rPr>
                <w:rFonts w:ascii="TT Hoves Light" w:hAnsi="TT Hoves Light" w:cs="TimesNewRoman"/>
              </w:rPr>
              <w:t xml:space="preserve"> to reflect the</w:t>
            </w:r>
            <w:r w:rsidR="00AE0FA6">
              <w:rPr>
                <w:rFonts w:ascii="TT Hoves Light" w:hAnsi="TT Hoves Light" w:cs="TimesNewRoman"/>
              </w:rPr>
              <w:t xml:space="preserve"> fact that all assets are invested via a</w:t>
            </w:r>
            <w:r>
              <w:rPr>
                <w:rFonts w:ascii="TT Hoves Light" w:hAnsi="TT Hoves Light" w:cs="TimesNewRoman"/>
              </w:rPr>
              <w:t xml:space="preserve"> </w:t>
            </w:r>
            <w:r w:rsidR="00AE0FA6">
              <w:rPr>
                <w:rFonts w:ascii="TT Hoves Light" w:hAnsi="TT Hoves Light" w:cs="TimesNewRoman"/>
              </w:rPr>
              <w:t>buy in policy with Aviva Life and Pensions UK Limited</w:t>
            </w:r>
            <w:r w:rsidR="0054624B">
              <w:rPr>
                <w:rFonts w:ascii="TT Hoves Light" w:hAnsi="TT Hoves Light" w:cs="TimesNewRoman"/>
              </w:rPr>
              <w:t xml:space="preserve"> (‘the Insurer’)</w:t>
            </w:r>
            <w:r w:rsidR="00AE0FA6">
              <w:rPr>
                <w:rFonts w:ascii="TT Hoves Light" w:hAnsi="TT Hoves Light" w:cs="TimesNewRoman"/>
              </w:rPr>
              <w:t>.</w:t>
            </w:r>
          </w:p>
        </w:tc>
      </w:tr>
    </w:tbl>
    <w:p w14:paraId="3E1E410E" w14:textId="4C8DE3F7" w:rsidR="0090487A" w:rsidRDefault="0090487A">
      <w:pPr>
        <w:rPr>
          <w:rFonts w:ascii="TT Hoves Light" w:hAnsi="TT Hoves Light"/>
        </w:rPr>
      </w:pPr>
    </w:p>
    <w:p w14:paraId="5D45F80F" w14:textId="77777777" w:rsidR="003B1769" w:rsidRDefault="003B1769">
      <w:pPr>
        <w:rPr>
          <w:rFonts w:ascii="TT Hoves Medium" w:hAnsi="TT Hoves Medium" w:cs="Arial"/>
          <w:color w:val="000000"/>
          <w:sz w:val="20"/>
          <w:szCs w:val="20"/>
        </w:rPr>
      </w:pPr>
    </w:p>
    <w:p w14:paraId="1B06A1E6" w14:textId="77777777" w:rsidR="003B1769" w:rsidRDefault="003B1769">
      <w:pPr>
        <w:rPr>
          <w:rFonts w:ascii="TT Hoves Medium" w:hAnsi="TT Hoves Medium" w:cs="Arial"/>
          <w:color w:val="000000"/>
          <w:sz w:val="20"/>
          <w:szCs w:val="20"/>
        </w:rPr>
      </w:pPr>
    </w:p>
    <w:p w14:paraId="3B6FA0DE" w14:textId="77777777" w:rsidR="003B1769" w:rsidRDefault="003B1769">
      <w:pPr>
        <w:rPr>
          <w:rFonts w:ascii="TT Hoves Medium" w:hAnsi="TT Hoves Medium" w:cs="Arial"/>
          <w:color w:val="000000"/>
          <w:sz w:val="20"/>
          <w:szCs w:val="20"/>
        </w:rPr>
      </w:pPr>
    </w:p>
    <w:p w14:paraId="19578233" w14:textId="447B3233" w:rsidR="0090487A" w:rsidRDefault="0090487A">
      <w:pPr>
        <w:rPr>
          <w:rFonts w:ascii="TT Hoves Medium" w:hAnsi="TT Hoves Medium" w:cs="Arial"/>
          <w:color w:val="000000"/>
          <w:sz w:val="20"/>
          <w:szCs w:val="20"/>
        </w:rPr>
      </w:pPr>
      <w:r w:rsidRPr="0090487A">
        <w:rPr>
          <w:rFonts w:ascii="TT Hoves Medium" w:hAnsi="TT Hoves Medium" w:cs="Arial"/>
          <w:color w:val="000000"/>
          <w:sz w:val="20"/>
          <w:szCs w:val="20"/>
        </w:rPr>
        <w:lastRenderedPageBreak/>
        <w:t>Implementing the current ESG policy and approach</w:t>
      </w:r>
    </w:p>
    <w:p w14:paraId="44D83512" w14:textId="3578DF10" w:rsidR="0090487A" w:rsidRDefault="0090487A">
      <w:pPr>
        <w:rPr>
          <w:rFonts w:ascii="TT Hoves Medium" w:hAnsi="TT Hoves Medium" w:cs="Arial"/>
          <w:color w:val="000000"/>
          <w:sz w:val="20"/>
          <w:szCs w:val="20"/>
        </w:rPr>
      </w:pPr>
    </w:p>
    <w:p w14:paraId="05505B74" w14:textId="77777777" w:rsidR="0090487A" w:rsidRPr="0090487A" w:rsidRDefault="0090487A" w:rsidP="0090487A">
      <w:pPr>
        <w:pStyle w:val="Heading2"/>
        <w:rPr>
          <w:rFonts w:ascii="TT Hoves Light" w:eastAsiaTheme="minorHAnsi" w:hAnsi="TT Hoves Light" w:cs="TimesNewRoman"/>
          <w:color w:val="000000" w:themeColor="text1"/>
          <w:sz w:val="19"/>
          <w:szCs w:val="19"/>
          <w:u w:val="single"/>
        </w:rPr>
      </w:pPr>
      <w:r w:rsidRPr="0090487A">
        <w:rPr>
          <w:rFonts w:ascii="TT Hoves Light" w:eastAsiaTheme="minorHAnsi" w:hAnsi="TT Hoves Light" w:cs="TimesNewRoman"/>
          <w:color w:val="000000" w:themeColor="text1"/>
          <w:sz w:val="19"/>
          <w:szCs w:val="19"/>
          <w:u w:val="single"/>
        </w:rPr>
        <w:t>ESG as a financially material risk</w:t>
      </w:r>
    </w:p>
    <w:p w14:paraId="76D11687" w14:textId="77777777" w:rsidR="0090487A" w:rsidRPr="0090487A" w:rsidRDefault="0090487A" w:rsidP="0090487A">
      <w:pPr>
        <w:pStyle w:val="Normal6ptafter"/>
        <w:rPr>
          <w:rFonts w:ascii="TT Hoves Light" w:hAnsi="TT Hoves Light"/>
        </w:rPr>
      </w:pPr>
      <w:r w:rsidRPr="0090487A">
        <w:rPr>
          <w:rFonts w:ascii="TT Hoves Light" w:hAnsi="TT Hoves Light"/>
        </w:rPr>
        <w:t>The SIP describes the Scheme’s policy with regards to ESG as a financially material risk. This page details how the Scheme’s ESG policy is implemented. The rest of this statement details our view of the managers, our actions for engagement and an evaluation of the stewardship activity.</w:t>
      </w:r>
    </w:p>
    <w:p w14:paraId="1EC23BA1" w14:textId="7B3C28C1" w:rsidR="007315F1" w:rsidRPr="0090487A" w:rsidRDefault="0090487A" w:rsidP="0090487A">
      <w:pPr>
        <w:pStyle w:val="Normal6ptafter"/>
        <w:rPr>
          <w:rFonts w:ascii="TT Hoves Light" w:hAnsi="TT Hoves Light"/>
        </w:rPr>
      </w:pPr>
      <w:r w:rsidRPr="0090487A">
        <w:rPr>
          <w:rFonts w:ascii="TT Hoves Light" w:hAnsi="TT Hoves Light"/>
        </w:rPr>
        <w:t>The below table outlines the areas which the Scheme’s investment managers are assessed on when evaluating their ESG policies and engagements.</w:t>
      </w:r>
    </w:p>
    <w:p w14:paraId="327F897F" w14:textId="4C997505" w:rsidR="0090487A" w:rsidRDefault="0090487A" w:rsidP="0090487A">
      <w:pPr>
        <w:pStyle w:val="Normal6ptafter"/>
        <w:rPr>
          <w:rFonts w:ascii="TT Hoves Light" w:hAnsi="TT Hoves Light" w:cs="TimesNewRoman"/>
          <w:u w:val="single"/>
        </w:rPr>
      </w:pPr>
      <w:r w:rsidRPr="0090487A">
        <w:rPr>
          <w:rFonts w:ascii="TT Hoves Light" w:hAnsi="TT Hoves Light" w:cs="TimesNewRoman"/>
          <w:u w:val="single"/>
        </w:rPr>
        <w:t xml:space="preserve">Implementing the Current ESG Policy </w:t>
      </w:r>
    </w:p>
    <w:tbl>
      <w:tblPr>
        <w:tblStyle w:val="IsioDarkHeader"/>
        <w:tblW w:w="0" w:type="auto"/>
        <w:tblLook w:val="04A0" w:firstRow="1" w:lastRow="0" w:firstColumn="1" w:lastColumn="0" w:noHBand="0" w:noVBand="1"/>
      </w:tblPr>
      <w:tblGrid>
        <w:gridCol w:w="2826"/>
        <w:gridCol w:w="3553"/>
        <w:gridCol w:w="2101"/>
      </w:tblGrid>
      <w:tr w:rsidR="0090487A" w14:paraId="189CC376" w14:textId="77777777" w:rsidTr="0054624B">
        <w:trPr>
          <w:cnfStyle w:val="100000000000" w:firstRow="1" w:lastRow="0" w:firstColumn="0" w:lastColumn="0" w:oddVBand="0" w:evenVBand="0" w:oddHBand="0" w:evenHBand="0" w:firstRowFirstColumn="0" w:firstRowLastColumn="0" w:lastRowFirstColumn="0" w:lastRowLastColumn="0"/>
          <w:trHeight w:val="613"/>
        </w:trPr>
        <w:tc>
          <w:tcPr>
            <w:tcW w:w="2826" w:type="dxa"/>
            <w:shd w:val="clear" w:color="auto" w:fill="00BA8D"/>
            <w:hideMark/>
          </w:tcPr>
          <w:p w14:paraId="74427E8A" w14:textId="77777777" w:rsidR="0090487A" w:rsidRPr="0090487A" w:rsidRDefault="0090487A" w:rsidP="00860DE3">
            <w:pPr>
              <w:autoSpaceDE w:val="0"/>
              <w:autoSpaceDN w:val="0"/>
              <w:adjustRightInd w:val="0"/>
              <w:rPr>
                <w:rFonts w:ascii="TT Hoves Light" w:hAnsi="TT Hoves Light" w:cs="TimesNewRoman"/>
              </w:rPr>
            </w:pPr>
            <w:r w:rsidRPr="0090487A">
              <w:rPr>
                <w:rFonts w:ascii="TT Hoves Light" w:hAnsi="TT Hoves Light" w:cs="TimesNewRoman"/>
              </w:rPr>
              <w:t>Areas for engagement</w:t>
            </w:r>
          </w:p>
        </w:tc>
        <w:tc>
          <w:tcPr>
            <w:tcW w:w="3553" w:type="dxa"/>
            <w:shd w:val="clear" w:color="auto" w:fill="00BA8D"/>
            <w:hideMark/>
          </w:tcPr>
          <w:p w14:paraId="35FD79A8" w14:textId="77777777" w:rsidR="0090487A" w:rsidRPr="0090487A" w:rsidRDefault="0090487A" w:rsidP="00860DE3">
            <w:pPr>
              <w:autoSpaceDE w:val="0"/>
              <w:autoSpaceDN w:val="0"/>
              <w:adjustRightInd w:val="0"/>
              <w:rPr>
                <w:rFonts w:ascii="TT Hoves Light" w:hAnsi="TT Hoves Light" w:cs="TimesNewRoman"/>
              </w:rPr>
            </w:pPr>
            <w:r w:rsidRPr="0090487A">
              <w:rPr>
                <w:rFonts w:ascii="TT Hoves Light" w:hAnsi="TT Hoves Light" w:cs="TimesNewRoman"/>
              </w:rPr>
              <w:t>Method for monitoring and engagement</w:t>
            </w:r>
          </w:p>
        </w:tc>
        <w:tc>
          <w:tcPr>
            <w:tcW w:w="2101" w:type="dxa"/>
            <w:shd w:val="clear" w:color="auto" w:fill="00BA8D"/>
            <w:hideMark/>
          </w:tcPr>
          <w:p w14:paraId="5830EFE1" w14:textId="77777777" w:rsidR="0090487A" w:rsidRPr="0090487A" w:rsidRDefault="0090487A" w:rsidP="00860DE3">
            <w:pPr>
              <w:autoSpaceDE w:val="0"/>
              <w:autoSpaceDN w:val="0"/>
              <w:adjustRightInd w:val="0"/>
              <w:rPr>
                <w:rFonts w:ascii="TT Hoves Light" w:hAnsi="TT Hoves Light" w:cs="TimesNewRoman"/>
              </w:rPr>
            </w:pPr>
            <w:r w:rsidRPr="0090487A">
              <w:rPr>
                <w:rFonts w:ascii="TT Hoves Light" w:hAnsi="TT Hoves Light" w:cs="TimesNewRoman"/>
              </w:rPr>
              <w:t>Circumstances for</w:t>
            </w:r>
          </w:p>
          <w:p w14:paraId="686F8060" w14:textId="77777777" w:rsidR="0090487A" w:rsidRPr="0090487A" w:rsidRDefault="0090487A" w:rsidP="00860DE3">
            <w:pPr>
              <w:autoSpaceDE w:val="0"/>
              <w:autoSpaceDN w:val="0"/>
              <w:adjustRightInd w:val="0"/>
              <w:rPr>
                <w:rFonts w:ascii="TT Hoves Light" w:hAnsi="TT Hoves Light" w:cs="TimesNewRoman"/>
              </w:rPr>
            </w:pPr>
            <w:r w:rsidRPr="0090487A">
              <w:rPr>
                <w:rFonts w:ascii="TT Hoves Light" w:hAnsi="TT Hoves Light" w:cs="TimesNewRoman"/>
              </w:rPr>
              <w:t>additional monitoring and engagement</w:t>
            </w:r>
          </w:p>
        </w:tc>
      </w:tr>
      <w:tr w:rsidR="0090487A" w14:paraId="10D4B405" w14:textId="77777777" w:rsidTr="0054624B">
        <w:trPr>
          <w:trHeight w:val="1581"/>
        </w:trPr>
        <w:tc>
          <w:tcPr>
            <w:tcW w:w="2826" w:type="dxa"/>
            <w:tcBorders>
              <w:top w:val="single" w:sz="4" w:space="0" w:color="44546A" w:themeColor="text2"/>
              <w:left w:val="nil"/>
              <w:bottom w:val="single" w:sz="8" w:space="0" w:color="44546A" w:themeColor="text2"/>
              <w:right w:val="nil"/>
            </w:tcBorders>
            <w:shd w:val="clear" w:color="auto" w:fill="E7E6E6"/>
            <w:hideMark/>
          </w:tcPr>
          <w:p w14:paraId="51033E83" w14:textId="77777777" w:rsidR="0090487A" w:rsidRPr="0090487A" w:rsidRDefault="0090487A" w:rsidP="00860DE3">
            <w:pPr>
              <w:autoSpaceDE w:val="0"/>
              <w:autoSpaceDN w:val="0"/>
              <w:adjustRightInd w:val="0"/>
              <w:rPr>
                <w:rFonts w:ascii="TT Hoves Light" w:hAnsi="TT Hoves Light" w:cs="TimesNewRoman"/>
              </w:rPr>
            </w:pPr>
            <w:r w:rsidRPr="0090487A">
              <w:rPr>
                <w:rFonts w:ascii="TT Hoves Light" w:hAnsi="TT Hoves Light" w:cs="TimesNewRoman"/>
              </w:rPr>
              <w:t>Environmental, Social, Corporate Governance factors and the exercising of rights and engagement activity</w:t>
            </w:r>
          </w:p>
        </w:tc>
        <w:tc>
          <w:tcPr>
            <w:tcW w:w="3553" w:type="dxa"/>
            <w:tcBorders>
              <w:top w:val="single" w:sz="4" w:space="0" w:color="44546A" w:themeColor="text2"/>
              <w:left w:val="nil"/>
              <w:bottom w:val="single" w:sz="8" w:space="0" w:color="44546A" w:themeColor="text2"/>
              <w:right w:val="nil"/>
            </w:tcBorders>
          </w:tcPr>
          <w:p w14:paraId="10AA02B8" w14:textId="36F3E3B3" w:rsidR="0054624B" w:rsidRDefault="0054624B" w:rsidP="00860DE3">
            <w:pPr>
              <w:autoSpaceDE w:val="0"/>
              <w:autoSpaceDN w:val="0"/>
              <w:adjustRightInd w:val="0"/>
              <w:rPr>
                <w:rFonts w:ascii="TT Hoves Light" w:hAnsi="TT Hoves Light" w:cs="TimesNewRoman"/>
              </w:rPr>
            </w:pPr>
            <w:r w:rsidRPr="0054624B">
              <w:rPr>
                <w:rFonts w:ascii="TT Hoves Light" w:hAnsi="TT Hoves Light" w:cs="TimesNewRoman"/>
              </w:rPr>
              <w:t xml:space="preserve">As part of the investment management of the Scheme’s assets, the Trustee expects the </w:t>
            </w:r>
            <w:r>
              <w:rPr>
                <w:rFonts w:ascii="TT Hoves Light" w:hAnsi="TT Hoves Light" w:cs="TimesNewRoman"/>
              </w:rPr>
              <w:t>investment manager/</w:t>
            </w:r>
            <w:r w:rsidRPr="0054624B">
              <w:rPr>
                <w:rFonts w:ascii="TT Hoves Light" w:hAnsi="TT Hoves Light" w:cs="TimesNewRoman"/>
              </w:rPr>
              <w:t>Insurer to:</w:t>
            </w:r>
          </w:p>
          <w:p w14:paraId="51AB78F0" w14:textId="77777777" w:rsidR="0054624B" w:rsidRPr="0054624B" w:rsidRDefault="0054624B" w:rsidP="0054624B">
            <w:pPr>
              <w:pStyle w:val="ListParagraph"/>
              <w:numPr>
                <w:ilvl w:val="0"/>
                <w:numId w:val="6"/>
              </w:numPr>
              <w:autoSpaceDE w:val="0"/>
              <w:autoSpaceDN w:val="0"/>
              <w:adjustRightInd w:val="0"/>
              <w:rPr>
                <w:rFonts w:ascii="TT Hoves Light" w:hAnsi="TT Hoves Light" w:cs="TimesNewRoman"/>
              </w:rPr>
            </w:pPr>
            <w:r w:rsidRPr="0054624B">
              <w:rPr>
                <w:rFonts w:ascii="TT Hoves Light" w:hAnsi="TT Hoves Light" w:cs="TimesNewRoman"/>
              </w:rPr>
              <w:t>Where relevant, assess the integration of ESG factors in the investment process; and</w:t>
            </w:r>
          </w:p>
          <w:p w14:paraId="3723B850" w14:textId="0CFC99F8" w:rsidR="0090487A" w:rsidRPr="0054624B" w:rsidRDefault="0054624B" w:rsidP="0054624B">
            <w:pPr>
              <w:pStyle w:val="ListParagraph"/>
              <w:numPr>
                <w:ilvl w:val="0"/>
                <w:numId w:val="6"/>
              </w:numPr>
              <w:autoSpaceDE w:val="0"/>
              <w:autoSpaceDN w:val="0"/>
              <w:adjustRightInd w:val="0"/>
              <w:rPr>
                <w:rFonts w:ascii="TT Hoves Light" w:hAnsi="TT Hoves Light" w:cs="TimesNewRoman"/>
              </w:rPr>
            </w:pPr>
            <w:r w:rsidRPr="0054624B">
              <w:rPr>
                <w:rFonts w:ascii="TT Hoves Light" w:hAnsi="TT Hoves Light" w:cs="TimesNewRoman"/>
              </w:rPr>
              <w:t>Use its influence to engage to ensure the Scheme</w:t>
            </w:r>
            <w:r w:rsidRPr="0054624B">
              <w:rPr>
                <w:rFonts w:ascii="TT Hoves Light" w:hAnsi="TT Hoves Light" w:cs="TT Hoves Light"/>
              </w:rPr>
              <w:t>’</w:t>
            </w:r>
            <w:r w:rsidRPr="0054624B">
              <w:rPr>
                <w:rFonts w:ascii="TT Hoves Light" w:hAnsi="TT Hoves Light" w:cs="TimesNewRoman"/>
              </w:rPr>
              <w:t xml:space="preserve">s assets are not exposed to undue risk. </w:t>
            </w:r>
          </w:p>
        </w:tc>
        <w:tc>
          <w:tcPr>
            <w:tcW w:w="2101" w:type="dxa"/>
            <w:tcBorders>
              <w:top w:val="single" w:sz="4" w:space="0" w:color="44546A" w:themeColor="text2"/>
              <w:left w:val="nil"/>
              <w:bottom w:val="single" w:sz="8" w:space="0" w:color="44546A" w:themeColor="text2"/>
              <w:right w:val="nil"/>
            </w:tcBorders>
            <w:hideMark/>
          </w:tcPr>
          <w:p w14:paraId="70629400" w14:textId="77777777" w:rsidR="0090487A" w:rsidRPr="0090487A" w:rsidRDefault="0090487A" w:rsidP="00860DE3">
            <w:pPr>
              <w:autoSpaceDE w:val="0"/>
              <w:autoSpaceDN w:val="0"/>
              <w:adjustRightInd w:val="0"/>
              <w:rPr>
                <w:rFonts w:ascii="TT Hoves Light" w:hAnsi="TT Hoves Light" w:cs="TimesNewRoman"/>
              </w:rPr>
            </w:pPr>
            <w:r w:rsidRPr="0090487A">
              <w:rPr>
                <w:rFonts w:ascii="TT Hoves Light" w:hAnsi="TT Hoves Light" w:cs="TimesNewRoman"/>
              </w:rPr>
              <w:t>If risks are deemed to potentially impact the Scheme’s investments negatively.</w:t>
            </w:r>
          </w:p>
        </w:tc>
      </w:tr>
    </w:tbl>
    <w:p w14:paraId="362B1BC8" w14:textId="77777777" w:rsidR="0090487A" w:rsidRPr="0090487A" w:rsidRDefault="0090487A" w:rsidP="0090487A">
      <w:pPr>
        <w:pStyle w:val="Normal6ptafter"/>
        <w:rPr>
          <w:rFonts w:ascii="TT Hoves Light" w:hAnsi="TT Hoves Light" w:cs="TimesNewRoman"/>
        </w:rPr>
      </w:pPr>
    </w:p>
    <w:p w14:paraId="79123563" w14:textId="0571AA85" w:rsidR="0090487A" w:rsidRDefault="0090487A" w:rsidP="0090487A">
      <w:pPr>
        <w:rPr>
          <w:rFonts w:ascii="TT Hoves Medium" w:hAnsi="TT Hoves Medium" w:cs="Arial"/>
          <w:color w:val="000000"/>
          <w:sz w:val="20"/>
          <w:szCs w:val="20"/>
        </w:rPr>
      </w:pPr>
      <w:r>
        <w:rPr>
          <w:rFonts w:ascii="TT Hoves Medium" w:hAnsi="TT Hoves Medium" w:cs="Arial"/>
          <w:color w:val="000000"/>
          <w:sz w:val="20"/>
          <w:szCs w:val="20"/>
        </w:rPr>
        <w:t>Engagement and Voting</w:t>
      </w:r>
    </w:p>
    <w:p w14:paraId="38797632" w14:textId="77777777" w:rsidR="0090487A" w:rsidRPr="0090487A" w:rsidRDefault="0090487A" w:rsidP="0090487A">
      <w:pPr>
        <w:rPr>
          <w:rFonts w:ascii="TT Hoves Medium" w:hAnsi="TT Hoves Medium"/>
          <w:sz w:val="19"/>
          <w:szCs w:val="19"/>
        </w:rPr>
      </w:pPr>
      <w:r>
        <w:rPr>
          <w:rFonts w:ascii="TT Hoves Medium" w:hAnsi="TT Hoves Medium"/>
          <w:sz w:val="19"/>
          <w:szCs w:val="19"/>
        </w:rPr>
        <w:t xml:space="preserve">    </w:t>
      </w:r>
    </w:p>
    <w:tbl>
      <w:tblPr>
        <w:tblStyle w:val="IsioDarkHeader"/>
        <w:tblW w:w="0" w:type="auto"/>
        <w:tblLook w:val="04A0" w:firstRow="1" w:lastRow="0" w:firstColumn="1" w:lastColumn="0" w:noHBand="0" w:noVBand="1"/>
      </w:tblPr>
      <w:tblGrid>
        <w:gridCol w:w="2826"/>
        <w:gridCol w:w="2827"/>
        <w:gridCol w:w="2827"/>
      </w:tblGrid>
      <w:tr w:rsidR="0090487A" w:rsidRPr="0090487A" w14:paraId="68211808" w14:textId="77777777" w:rsidTr="0090487A">
        <w:trPr>
          <w:cnfStyle w:val="100000000000" w:firstRow="1" w:lastRow="0" w:firstColumn="0" w:lastColumn="0" w:oddVBand="0" w:evenVBand="0" w:oddHBand="0" w:evenHBand="0" w:firstRowFirstColumn="0" w:firstRowLastColumn="0" w:lastRowFirstColumn="0" w:lastRowLastColumn="0"/>
          <w:trHeight w:val="613"/>
        </w:trPr>
        <w:tc>
          <w:tcPr>
            <w:tcW w:w="2826" w:type="dxa"/>
            <w:shd w:val="clear" w:color="auto" w:fill="00BA8D"/>
            <w:vAlign w:val="center"/>
            <w:hideMark/>
          </w:tcPr>
          <w:p w14:paraId="26B820BA" w14:textId="77777777" w:rsidR="0090487A" w:rsidRPr="0090487A" w:rsidRDefault="0090487A" w:rsidP="00860DE3">
            <w:pPr>
              <w:autoSpaceDE w:val="0"/>
              <w:autoSpaceDN w:val="0"/>
              <w:adjustRightInd w:val="0"/>
              <w:rPr>
                <w:rFonts w:ascii="TT Hoves Light" w:hAnsi="TT Hoves Light" w:cs="TimesNewRoman"/>
              </w:rPr>
            </w:pPr>
            <w:bookmarkStart w:id="0" w:name="_Toc41557237"/>
            <w:r w:rsidRPr="0090487A">
              <w:rPr>
                <w:rFonts w:ascii="TT Hoves Light" w:hAnsi="TT Hoves Light" w:cs="TimesNewRoman"/>
              </w:rPr>
              <w:t>Fund name</w:t>
            </w:r>
          </w:p>
        </w:tc>
        <w:tc>
          <w:tcPr>
            <w:tcW w:w="2827" w:type="dxa"/>
            <w:shd w:val="clear" w:color="auto" w:fill="00BA8D"/>
            <w:vAlign w:val="center"/>
            <w:hideMark/>
          </w:tcPr>
          <w:p w14:paraId="00CC3AC5" w14:textId="77777777" w:rsidR="0090487A" w:rsidRPr="0090487A" w:rsidRDefault="0090487A" w:rsidP="00860DE3">
            <w:pPr>
              <w:autoSpaceDE w:val="0"/>
              <w:autoSpaceDN w:val="0"/>
              <w:adjustRightInd w:val="0"/>
              <w:rPr>
                <w:rFonts w:ascii="TT Hoves Light" w:hAnsi="TT Hoves Light" w:cs="TimesNewRoman"/>
              </w:rPr>
            </w:pPr>
            <w:r w:rsidRPr="0090487A">
              <w:rPr>
                <w:rFonts w:ascii="TT Hoves Light" w:hAnsi="TT Hoves Light" w:cs="TimesNewRoman"/>
              </w:rPr>
              <w:t>Engagement Summary</w:t>
            </w:r>
          </w:p>
        </w:tc>
        <w:tc>
          <w:tcPr>
            <w:tcW w:w="2827" w:type="dxa"/>
            <w:shd w:val="clear" w:color="auto" w:fill="00BA8D"/>
            <w:vAlign w:val="center"/>
            <w:hideMark/>
          </w:tcPr>
          <w:p w14:paraId="35F737B6" w14:textId="77777777" w:rsidR="0090487A" w:rsidRPr="0090487A" w:rsidRDefault="0090487A" w:rsidP="00860DE3">
            <w:pPr>
              <w:autoSpaceDE w:val="0"/>
              <w:autoSpaceDN w:val="0"/>
              <w:adjustRightInd w:val="0"/>
              <w:rPr>
                <w:rFonts w:ascii="TT Hoves Light" w:hAnsi="TT Hoves Light" w:cs="TimesNewRoman"/>
              </w:rPr>
            </w:pPr>
            <w:r w:rsidRPr="0090487A">
              <w:rPr>
                <w:rFonts w:ascii="TT Hoves Light" w:hAnsi="TT Hoves Light" w:cs="TimesNewRoman"/>
              </w:rPr>
              <w:t>Commentary</w:t>
            </w:r>
          </w:p>
        </w:tc>
      </w:tr>
      <w:tr w:rsidR="0090487A" w:rsidRPr="0090487A" w14:paraId="09E05BEE" w14:textId="77777777" w:rsidTr="007315F1">
        <w:trPr>
          <w:trHeight w:val="1652"/>
        </w:trPr>
        <w:tc>
          <w:tcPr>
            <w:tcW w:w="2826" w:type="dxa"/>
            <w:tcBorders>
              <w:top w:val="single" w:sz="4" w:space="0" w:color="44546A" w:themeColor="text2"/>
              <w:left w:val="nil"/>
              <w:bottom w:val="single" w:sz="4" w:space="0" w:color="44546A" w:themeColor="text2"/>
              <w:right w:val="nil"/>
            </w:tcBorders>
            <w:shd w:val="clear" w:color="auto" w:fill="E7E6E6"/>
            <w:vAlign w:val="center"/>
            <w:hideMark/>
          </w:tcPr>
          <w:p w14:paraId="58A3EB2F" w14:textId="7D5929EE" w:rsidR="0090487A" w:rsidRPr="0090487A" w:rsidRDefault="0090487A" w:rsidP="00860DE3">
            <w:pPr>
              <w:autoSpaceDE w:val="0"/>
              <w:autoSpaceDN w:val="0"/>
              <w:adjustRightInd w:val="0"/>
              <w:rPr>
                <w:rFonts w:ascii="TT Hoves Light" w:hAnsi="TT Hoves Light" w:cs="TimesNewRoman"/>
              </w:rPr>
            </w:pPr>
            <w:r w:rsidRPr="0090487A">
              <w:rPr>
                <w:rFonts w:ascii="TT Hoves Light" w:hAnsi="TT Hoves Light" w:cs="TimesNewRoman"/>
              </w:rPr>
              <w:t>LGIM Over 15 Years Index-Linked Gilts</w:t>
            </w:r>
            <w:r w:rsidR="0054624B">
              <w:rPr>
                <w:rFonts w:ascii="TT Hoves Light" w:hAnsi="TT Hoves Light" w:cs="TimesNewRoman"/>
              </w:rPr>
              <w:t xml:space="preserve"> (until 22 June 2020)</w:t>
            </w:r>
          </w:p>
        </w:tc>
        <w:tc>
          <w:tcPr>
            <w:tcW w:w="2827" w:type="dxa"/>
            <w:tcBorders>
              <w:top w:val="single" w:sz="4" w:space="0" w:color="44546A" w:themeColor="text2"/>
              <w:left w:val="nil"/>
              <w:bottom w:val="single" w:sz="4" w:space="0" w:color="44546A" w:themeColor="text2"/>
              <w:right w:val="nil"/>
            </w:tcBorders>
            <w:vAlign w:val="center"/>
          </w:tcPr>
          <w:p w14:paraId="238242B7" w14:textId="77777777" w:rsidR="0090487A" w:rsidRPr="0090487A" w:rsidRDefault="0090487A" w:rsidP="00860DE3">
            <w:pPr>
              <w:autoSpaceDE w:val="0"/>
              <w:autoSpaceDN w:val="0"/>
              <w:adjustRightInd w:val="0"/>
              <w:rPr>
                <w:rFonts w:ascii="TT Hoves Light" w:hAnsi="TT Hoves Light" w:cs="TimesNewRoman"/>
              </w:rPr>
            </w:pPr>
            <w:r w:rsidRPr="0090487A">
              <w:rPr>
                <w:rFonts w:ascii="TT Hoves Light" w:hAnsi="TT Hoves Light" w:cs="TimesNewRoman"/>
              </w:rPr>
              <w:t xml:space="preserve">LGIM currently do not provide details of their engagement activities at Fund level, however the firm is considering how such information can be provided going forward. </w:t>
            </w:r>
          </w:p>
          <w:p w14:paraId="57463BBF" w14:textId="77777777" w:rsidR="0090487A" w:rsidRPr="0090487A" w:rsidRDefault="0090487A" w:rsidP="00860DE3">
            <w:pPr>
              <w:autoSpaceDE w:val="0"/>
              <w:autoSpaceDN w:val="0"/>
              <w:adjustRightInd w:val="0"/>
              <w:rPr>
                <w:rFonts w:ascii="TT Hoves Light" w:hAnsi="TT Hoves Light" w:cs="TimesNewRoman"/>
              </w:rPr>
            </w:pPr>
          </w:p>
        </w:tc>
        <w:tc>
          <w:tcPr>
            <w:tcW w:w="2827" w:type="dxa"/>
            <w:tcBorders>
              <w:top w:val="single" w:sz="4" w:space="0" w:color="44546A" w:themeColor="text2"/>
              <w:left w:val="nil"/>
              <w:bottom w:val="single" w:sz="4" w:space="0" w:color="44546A" w:themeColor="text2"/>
              <w:right w:val="nil"/>
            </w:tcBorders>
            <w:vAlign w:val="center"/>
            <w:hideMark/>
          </w:tcPr>
          <w:p w14:paraId="3C6F035A" w14:textId="77777777" w:rsidR="0090487A" w:rsidRPr="0090487A" w:rsidRDefault="0090487A" w:rsidP="00860DE3">
            <w:pPr>
              <w:autoSpaceDE w:val="0"/>
              <w:autoSpaceDN w:val="0"/>
              <w:adjustRightInd w:val="0"/>
              <w:rPr>
                <w:rFonts w:ascii="TT Hoves Light" w:hAnsi="TT Hoves Light" w:cs="TimesNewRoman"/>
              </w:rPr>
            </w:pPr>
            <w:r w:rsidRPr="0090487A">
              <w:rPr>
                <w:rFonts w:ascii="TT Hoves Light" w:hAnsi="TT Hoves Light" w:cs="TimesNewRoman"/>
              </w:rPr>
              <w:t>The Trustee and its advisors are comfortable with this approach due to the underlying assets being 100% index-linked government bonds.</w:t>
            </w:r>
          </w:p>
        </w:tc>
      </w:tr>
      <w:tr w:rsidR="0090487A" w:rsidRPr="0090487A" w14:paraId="349FE6A6" w14:textId="77777777" w:rsidTr="0090487A">
        <w:trPr>
          <w:trHeight w:val="338"/>
        </w:trPr>
        <w:tc>
          <w:tcPr>
            <w:tcW w:w="2826" w:type="dxa"/>
            <w:tcBorders>
              <w:top w:val="single" w:sz="4" w:space="0" w:color="44546A" w:themeColor="text2"/>
              <w:left w:val="nil"/>
              <w:bottom w:val="single" w:sz="4" w:space="0" w:color="44546A" w:themeColor="text2"/>
              <w:right w:val="nil"/>
            </w:tcBorders>
            <w:vAlign w:val="center"/>
          </w:tcPr>
          <w:p w14:paraId="7F3370D4" w14:textId="77777777" w:rsidR="0090487A" w:rsidRPr="0090487A" w:rsidRDefault="0090487A" w:rsidP="00860DE3">
            <w:pPr>
              <w:autoSpaceDE w:val="0"/>
              <w:autoSpaceDN w:val="0"/>
              <w:adjustRightInd w:val="0"/>
              <w:rPr>
                <w:rFonts w:ascii="TT Hoves Light" w:hAnsi="TT Hoves Light" w:cs="TimesNewRoman"/>
              </w:rPr>
            </w:pPr>
          </w:p>
        </w:tc>
        <w:tc>
          <w:tcPr>
            <w:tcW w:w="2827" w:type="dxa"/>
            <w:tcBorders>
              <w:top w:val="single" w:sz="4" w:space="0" w:color="44546A" w:themeColor="text2"/>
              <w:left w:val="nil"/>
              <w:bottom w:val="single" w:sz="4" w:space="0" w:color="44546A" w:themeColor="text2"/>
              <w:right w:val="nil"/>
            </w:tcBorders>
            <w:vAlign w:val="center"/>
          </w:tcPr>
          <w:p w14:paraId="737C7E22" w14:textId="77777777" w:rsidR="0090487A" w:rsidRPr="0090487A" w:rsidRDefault="0090487A" w:rsidP="00860DE3">
            <w:pPr>
              <w:autoSpaceDE w:val="0"/>
              <w:autoSpaceDN w:val="0"/>
              <w:adjustRightInd w:val="0"/>
              <w:rPr>
                <w:rFonts w:ascii="TT Hoves Light" w:hAnsi="TT Hoves Light" w:cs="TimesNewRoman"/>
              </w:rPr>
            </w:pPr>
          </w:p>
        </w:tc>
        <w:tc>
          <w:tcPr>
            <w:tcW w:w="2827" w:type="dxa"/>
            <w:tcBorders>
              <w:top w:val="single" w:sz="4" w:space="0" w:color="44546A" w:themeColor="text2"/>
              <w:left w:val="nil"/>
              <w:bottom w:val="single" w:sz="4" w:space="0" w:color="44546A" w:themeColor="text2"/>
              <w:right w:val="nil"/>
            </w:tcBorders>
            <w:vAlign w:val="center"/>
          </w:tcPr>
          <w:p w14:paraId="09FFC7C8" w14:textId="77777777" w:rsidR="0090487A" w:rsidRPr="0090487A" w:rsidRDefault="0090487A" w:rsidP="00860DE3">
            <w:pPr>
              <w:autoSpaceDE w:val="0"/>
              <w:autoSpaceDN w:val="0"/>
              <w:adjustRightInd w:val="0"/>
              <w:rPr>
                <w:rFonts w:ascii="TT Hoves Light" w:hAnsi="TT Hoves Light" w:cs="TimesNewRoman"/>
              </w:rPr>
            </w:pPr>
          </w:p>
        </w:tc>
      </w:tr>
      <w:tr w:rsidR="0090487A" w:rsidRPr="0090487A" w14:paraId="66658A25" w14:textId="77777777" w:rsidTr="0090487A">
        <w:trPr>
          <w:trHeight w:val="600"/>
        </w:trPr>
        <w:tc>
          <w:tcPr>
            <w:tcW w:w="2826" w:type="dxa"/>
            <w:tcBorders>
              <w:top w:val="single" w:sz="4" w:space="0" w:color="44546A" w:themeColor="text2"/>
              <w:left w:val="nil"/>
              <w:bottom w:val="single" w:sz="4" w:space="0" w:color="44546A" w:themeColor="text2"/>
              <w:right w:val="nil"/>
            </w:tcBorders>
            <w:shd w:val="clear" w:color="auto" w:fill="00BA8D"/>
            <w:vAlign w:val="center"/>
          </w:tcPr>
          <w:p w14:paraId="75604179" w14:textId="77777777" w:rsidR="0090487A" w:rsidRPr="0090487A" w:rsidRDefault="0090487A" w:rsidP="00860DE3">
            <w:pPr>
              <w:autoSpaceDE w:val="0"/>
              <w:autoSpaceDN w:val="0"/>
              <w:adjustRightInd w:val="0"/>
              <w:rPr>
                <w:rFonts w:ascii="TT Hoves Light" w:hAnsi="TT Hoves Light" w:cs="TimesNewRoman"/>
                <w:color w:val="FFFFFF" w:themeColor="background1"/>
              </w:rPr>
            </w:pPr>
            <w:r w:rsidRPr="0090487A">
              <w:rPr>
                <w:rStyle w:val="TTHovesMedium"/>
                <w:rFonts w:ascii="TT Hoves Light" w:hAnsi="TT Hoves Light"/>
                <w:color w:val="FFFFFF" w:themeColor="background1"/>
              </w:rPr>
              <w:t>Fund name</w:t>
            </w:r>
          </w:p>
        </w:tc>
        <w:tc>
          <w:tcPr>
            <w:tcW w:w="2827" w:type="dxa"/>
            <w:tcBorders>
              <w:top w:val="single" w:sz="4" w:space="0" w:color="44546A" w:themeColor="text2"/>
              <w:left w:val="nil"/>
              <w:bottom w:val="single" w:sz="4" w:space="0" w:color="44546A" w:themeColor="text2"/>
              <w:right w:val="nil"/>
            </w:tcBorders>
            <w:shd w:val="clear" w:color="auto" w:fill="00BA8D"/>
            <w:vAlign w:val="center"/>
          </w:tcPr>
          <w:p w14:paraId="08BCB0A1" w14:textId="77777777" w:rsidR="0090487A" w:rsidRPr="0090487A" w:rsidRDefault="0090487A" w:rsidP="00860DE3">
            <w:pPr>
              <w:autoSpaceDE w:val="0"/>
              <w:autoSpaceDN w:val="0"/>
              <w:adjustRightInd w:val="0"/>
              <w:rPr>
                <w:rFonts w:ascii="TT Hoves Light" w:hAnsi="TT Hoves Light" w:cs="TimesNewRoman"/>
                <w:color w:val="FFFFFF" w:themeColor="background1"/>
              </w:rPr>
            </w:pPr>
            <w:r w:rsidRPr="0090487A">
              <w:rPr>
                <w:rStyle w:val="TTHovesMedium"/>
                <w:rFonts w:ascii="TT Hoves Light" w:hAnsi="TT Hoves Light"/>
                <w:color w:val="FFFFFF" w:themeColor="background1"/>
              </w:rPr>
              <w:t>Voting summary</w:t>
            </w:r>
          </w:p>
        </w:tc>
        <w:tc>
          <w:tcPr>
            <w:tcW w:w="2827" w:type="dxa"/>
            <w:tcBorders>
              <w:top w:val="single" w:sz="4" w:space="0" w:color="44546A" w:themeColor="text2"/>
              <w:left w:val="nil"/>
              <w:bottom w:val="single" w:sz="4" w:space="0" w:color="44546A" w:themeColor="text2"/>
              <w:right w:val="nil"/>
            </w:tcBorders>
            <w:shd w:val="clear" w:color="auto" w:fill="00BA8D"/>
            <w:vAlign w:val="center"/>
          </w:tcPr>
          <w:p w14:paraId="49D0B2BB" w14:textId="77777777" w:rsidR="0090487A" w:rsidRPr="0090487A" w:rsidRDefault="0090487A" w:rsidP="00860DE3">
            <w:pPr>
              <w:autoSpaceDE w:val="0"/>
              <w:autoSpaceDN w:val="0"/>
              <w:adjustRightInd w:val="0"/>
              <w:rPr>
                <w:rFonts w:ascii="TT Hoves Light" w:hAnsi="TT Hoves Light" w:cs="TimesNewRoman"/>
                <w:color w:val="FFFFFF" w:themeColor="background1"/>
              </w:rPr>
            </w:pPr>
            <w:r w:rsidRPr="0090487A">
              <w:rPr>
                <w:rStyle w:val="TTHovesMedium"/>
                <w:rFonts w:ascii="TT Hoves Light" w:hAnsi="TT Hoves Light"/>
                <w:color w:val="FFFFFF" w:themeColor="background1"/>
              </w:rPr>
              <w:t>Example of significant votes</w:t>
            </w:r>
          </w:p>
        </w:tc>
      </w:tr>
      <w:tr w:rsidR="0090487A" w:rsidRPr="0090487A" w14:paraId="107B2D7C" w14:textId="77777777" w:rsidTr="007315F1">
        <w:trPr>
          <w:trHeight w:val="765"/>
        </w:trPr>
        <w:tc>
          <w:tcPr>
            <w:tcW w:w="2826" w:type="dxa"/>
            <w:tcBorders>
              <w:top w:val="single" w:sz="4" w:space="0" w:color="44546A" w:themeColor="text2"/>
              <w:left w:val="nil"/>
              <w:bottom w:val="single" w:sz="8" w:space="0" w:color="44546A" w:themeColor="text2"/>
              <w:right w:val="nil"/>
            </w:tcBorders>
            <w:shd w:val="clear" w:color="auto" w:fill="E7E6E6"/>
            <w:vAlign w:val="center"/>
          </w:tcPr>
          <w:p w14:paraId="6071A1F4" w14:textId="58D04DF4" w:rsidR="0090487A" w:rsidRPr="0090487A" w:rsidRDefault="0090487A" w:rsidP="00860DE3">
            <w:pPr>
              <w:autoSpaceDE w:val="0"/>
              <w:autoSpaceDN w:val="0"/>
              <w:adjustRightInd w:val="0"/>
              <w:rPr>
                <w:rFonts w:ascii="TT Hoves Light" w:hAnsi="TT Hoves Light" w:cs="TimesNewRoman"/>
              </w:rPr>
            </w:pPr>
            <w:r w:rsidRPr="0090487A">
              <w:rPr>
                <w:rFonts w:ascii="TT Hoves Light" w:hAnsi="TT Hoves Light" w:cs="TimesNewRoman"/>
              </w:rPr>
              <w:t>LGIM Over 15 Years Index-Linked Gilts</w:t>
            </w:r>
            <w:r w:rsidR="003E001D">
              <w:rPr>
                <w:rFonts w:ascii="TT Hoves Light" w:hAnsi="TT Hoves Light" w:cs="TimesNewRoman"/>
              </w:rPr>
              <w:t xml:space="preserve"> </w:t>
            </w:r>
            <w:r w:rsidR="003E001D">
              <w:rPr>
                <w:rFonts w:ascii="TT Hoves Light" w:hAnsi="TT Hoves Light" w:cs="TimesNewRoman"/>
              </w:rPr>
              <w:t>(until 22 June 2020)</w:t>
            </w:r>
          </w:p>
        </w:tc>
        <w:tc>
          <w:tcPr>
            <w:tcW w:w="5654" w:type="dxa"/>
            <w:gridSpan w:val="2"/>
            <w:tcBorders>
              <w:top w:val="single" w:sz="4" w:space="0" w:color="44546A" w:themeColor="text2"/>
              <w:left w:val="nil"/>
              <w:bottom w:val="single" w:sz="8" w:space="0" w:color="44546A" w:themeColor="text2"/>
              <w:right w:val="nil"/>
            </w:tcBorders>
            <w:vAlign w:val="center"/>
          </w:tcPr>
          <w:p w14:paraId="025EF8CB" w14:textId="77777777" w:rsidR="0090487A" w:rsidRPr="0090487A" w:rsidRDefault="0090487A" w:rsidP="00860DE3">
            <w:pPr>
              <w:autoSpaceDE w:val="0"/>
              <w:autoSpaceDN w:val="0"/>
              <w:adjustRightInd w:val="0"/>
              <w:rPr>
                <w:rFonts w:ascii="TT Hoves Light" w:hAnsi="TT Hoves Light" w:cs="TimesNewRoman"/>
              </w:rPr>
            </w:pPr>
            <w:r w:rsidRPr="0090487A">
              <w:rPr>
                <w:rFonts w:ascii="TT Hoves Light" w:hAnsi="TT Hoves Light" w:cs="TimesNewRoman"/>
              </w:rPr>
              <w:t>Voting not applicable</w:t>
            </w:r>
          </w:p>
        </w:tc>
      </w:tr>
      <w:bookmarkEnd w:id="0"/>
    </w:tbl>
    <w:p w14:paraId="3D0C37A4" w14:textId="60AA7F67" w:rsidR="0090487A" w:rsidRDefault="0090487A" w:rsidP="0090487A">
      <w:pPr>
        <w:rPr>
          <w:rFonts w:ascii="TT Hoves Light" w:hAnsi="TT Hoves Light"/>
          <w:sz w:val="19"/>
          <w:szCs w:val="19"/>
        </w:rPr>
      </w:pPr>
    </w:p>
    <w:p w14:paraId="07E67AA6" w14:textId="3CA0FA92" w:rsidR="0054624B" w:rsidRPr="0090487A" w:rsidRDefault="0054624B" w:rsidP="0090487A">
      <w:pPr>
        <w:rPr>
          <w:rFonts w:ascii="TT Hoves Light" w:hAnsi="TT Hoves Light"/>
          <w:sz w:val="19"/>
          <w:szCs w:val="19"/>
        </w:rPr>
      </w:pPr>
      <w:r>
        <w:rPr>
          <w:rFonts w:ascii="TT Hoves Light" w:hAnsi="TT Hoves Light"/>
          <w:sz w:val="19"/>
          <w:szCs w:val="19"/>
        </w:rPr>
        <w:t xml:space="preserve">The Trustee does not collect data from the Insurer </w:t>
      </w:r>
      <w:r w:rsidR="003E001D">
        <w:rPr>
          <w:rFonts w:ascii="TT Hoves Light" w:hAnsi="TT Hoves Light"/>
          <w:sz w:val="19"/>
          <w:szCs w:val="19"/>
        </w:rPr>
        <w:t xml:space="preserve">due to the </w:t>
      </w:r>
      <w:r w:rsidR="00E87CE9">
        <w:rPr>
          <w:rFonts w:ascii="TT Hoves Light" w:hAnsi="TT Hoves Light"/>
          <w:sz w:val="19"/>
          <w:szCs w:val="19"/>
        </w:rPr>
        <w:t>regulatory requirements</w:t>
      </w:r>
      <w:r w:rsidR="003E001D">
        <w:rPr>
          <w:rFonts w:ascii="TT Hoves Light" w:hAnsi="TT Hoves Light"/>
          <w:sz w:val="19"/>
          <w:szCs w:val="19"/>
        </w:rPr>
        <w:t xml:space="preserve"> of buy ins</w:t>
      </w:r>
      <w:r w:rsidR="00E87CE9">
        <w:rPr>
          <w:rFonts w:ascii="TT Hoves Light" w:hAnsi="TT Hoves Light"/>
          <w:sz w:val="19"/>
          <w:szCs w:val="19"/>
        </w:rPr>
        <w:t>.</w:t>
      </w:r>
    </w:p>
    <w:sectPr w:rsidR="0054624B" w:rsidRPr="0090487A" w:rsidSect="00415C2B">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900D3" w14:textId="77777777" w:rsidR="00047C2F" w:rsidRDefault="00047C2F" w:rsidP="007315F1">
      <w:r>
        <w:separator/>
      </w:r>
    </w:p>
  </w:endnote>
  <w:endnote w:type="continuationSeparator" w:id="0">
    <w:p w14:paraId="7336839D" w14:textId="77777777" w:rsidR="00047C2F" w:rsidRDefault="00047C2F" w:rsidP="0073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 Hoves Medium">
    <w:panose1 w:val="02000803030000020004"/>
    <w:charset w:val="00"/>
    <w:family w:val="auto"/>
    <w:pitch w:val="variable"/>
    <w:sig w:usb0="A000027F" w:usb1="5000A4F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 Hoves Light">
    <w:panose1 w:val="02000503020000020004"/>
    <w:charset w:val="00"/>
    <w:family w:val="auto"/>
    <w:pitch w:val="variable"/>
    <w:sig w:usb0="A000027F" w:usb1="5000A4FB" w:usb2="00000000" w:usb3="00000000" w:csb0="00000097"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881D0" w14:textId="77777777" w:rsidR="00047C2F" w:rsidRDefault="00047C2F" w:rsidP="007315F1">
      <w:r>
        <w:separator/>
      </w:r>
    </w:p>
  </w:footnote>
  <w:footnote w:type="continuationSeparator" w:id="0">
    <w:p w14:paraId="68E39A50" w14:textId="77777777" w:rsidR="00047C2F" w:rsidRDefault="00047C2F" w:rsidP="00731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73D"/>
    <w:multiLevelType w:val="hybridMultilevel"/>
    <w:tmpl w:val="87D8D7E2"/>
    <w:lvl w:ilvl="0" w:tplc="7BDC3BC6">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8CA5151"/>
    <w:multiLevelType w:val="hybridMultilevel"/>
    <w:tmpl w:val="C88A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D0271"/>
    <w:multiLevelType w:val="hybridMultilevel"/>
    <w:tmpl w:val="00448978"/>
    <w:lvl w:ilvl="0" w:tplc="E1ECBED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4A7B55"/>
    <w:multiLevelType w:val="hybridMultilevel"/>
    <w:tmpl w:val="7D68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8702F"/>
    <w:multiLevelType w:val="hybridMultilevel"/>
    <w:tmpl w:val="D32A9E8C"/>
    <w:lvl w:ilvl="0" w:tplc="06AE7A6A">
      <w:start w:val="1"/>
      <w:numFmt w:val="bullet"/>
      <w:lvlText w:val="-"/>
      <w:lvlJc w:val="left"/>
      <w:pPr>
        <w:ind w:left="720" w:hanging="360"/>
      </w:pPr>
      <w:rPr>
        <w:rFonts w:ascii="TT Hoves Medium" w:eastAsiaTheme="minorHAnsi" w:hAnsi="TT Hoves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7D"/>
    <w:rsid w:val="000432DC"/>
    <w:rsid w:val="00047C2F"/>
    <w:rsid w:val="000632F1"/>
    <w:rsid w:val="0007062A"/>
    <w:rsid w:val="000C21CA"/>
    <w:rsid w:val="00151D69"/>
    <w:rsid w:val="00162BB1"/>
    <w:rsid w:val="0019192D"/>
    <w:rsid w:val="00191EB4"/>
    <w:rsid w:val="00252C54"/>
    <w:rsid w:val="00265118"/>
    <w:rsid w:val="002F522D"/>
    <w:rsid w:val="002F75D0"/>
    <w:rsid w:val="003B1769"/>
    <w:rsid w:val="003B3E7D"/>
    <w:rsid w:val="003E001D"/>
    <w:rsid w:val="00415C2B"/>
    <w:rsid w:val="004167D8"/>
    <w:rsid w:val="004B16AD"/>
    <w:rsid w:val="0054624B"/>
    <w:rsid w:val="005916EA"/>
    <w:rsid w:val="0059596E"/>
    <w:rsid w:val="006A270A"/>
    <w:rsid w:val="007315F1"/>
    <w:rsid w:val="00735035"/>
    <w:rsid w:val="00783F47"/>
    <w:rsid w:val="007D1903"/>
    <w:rsid w:val="007E0ECB"/>
    <w:rsid w:val="008729F4"/>
    <w:rsid w:val="008C0F13"/>
    <w:rsid w:val="008E2254"/>
    <w:rsid w:val="0090487A"/>
    <w:rsid w:val="009764A8"/>
    <w:rsid w:val="00A262B5"/>
    <w:rsid w:val="00A74FDA"/>
    <w:rsid w:val="00AB4901"/>
    <w:rsid w:val="00AE068E"/>
    <w:rsid w:val="00AE0FA6"/>
    <w:rsid w:val="00AF67B1"/>
    <w:rsid w:val="00B633DE"/>
    <w:rsid w:val="00B67C00"/>
    <w:rsid w:val="00BD1E79"/>
    <w:rsid w:val="00BE4793"/>
    <w:rsid w:val="00C07171"/>
    <w:rsid w:val="00C33020"/>
    <w:rsid w:val="00C85312"/>
    <w:rsid w:val="00CB5CB5"/>
    <w:rsid w:val="00D15CE8"/>
    <w:rsid w:val="00E11CCF"/>
    <w:rsid w:val="00E7528B"/>
    <w:rsid w:val="00E87CE9"/>
    <w:rsid w:val="00F76841"/>
    <w:rsid w:val="00F84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7ADE6"/>
  <w15:chartTrackingRefBased/>
  <w15:docId w15:val="{0AFFE923-1A01-4EA5-94B1-2E140F8D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E7D"/>
    <w:pPr>
      <w:spacing w:after="0" w:line="240" w:lineRule="auto"/>
    </w:pPr>
    <w:rPr>
      <w:rFonts w:ascii="Calibri" w:hAnsi="Calibri" w:cs="Calibri"/>
    </w:rPr>
  </w:style>
  <w:style w:type="paragraph" w:styleId="Heading1">
    <w:name w:val="heading 1"/>
    <w:basedOn w:val="Normal"/>
    <w:next w:val="Normal"/>
    <w:link w:val="Heading1Char"/>
    <w:uiPriority w:val="3"/>
    <w:qFormat/>
    <w:rsid w:val="00415C2B"/>
    <w:pPr>
      <w:keepNext/>
      <w:keepLines/>
      <w:pageBreakBefore/>
      <w:framePr w:w="7088" w:h="3119" w:hRule="exact" w:wrap="around" w:vAnchor="page" w:hAnchor="margin" w:y="568"/>
      <w:spacing w:line="720" w:lineRule="atLeast"/>
      <w:outlineLvl w:val="0"/>
    </w:pPr>
    <w:rPr>
      <w:rFonts w:asciiTheme="majorHAnsi" w:eastAsiaTheme="majorEastAsia" w:hAnsiTheme="majorHAnsi" w:cstheme="majorBidi"/>
      <w:color w:val="4472C4" w:themeColor="accent1"/>
      <w:sz w:val="60"/>
      <w:szCs w:val="32"/>
    </w:rPr>
  </w:style>
  <w:style w:type="paragraph" w:styleId="Heading2">
    <w:name w:val="heading 2"/>
    <w:basedOn w:val="Normal"/>
    <w:next w:val="Normal"/>
    <w:link w:val="Heading2Char"/>
    <w:uiPriority w:val="9"/>
    <w:semiHidden/>
    <w:unhideWhenUsed/>
    <w:qFormat/>
    <w:rsid w:val="009048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E7D"/>
    <w:rPr>
      <w:rFonts w:ascii="Segoe UI" w:hAnsi="Segoe UI" w:cs="Segoe UI"/>
      <w:sz w:val="18"/>
      <w:szCs w:val="18"/>
    </w:rPr>
  </w:style>
  <w:style w:type="paragraph" w:styleId="ListParagraph">
    <w:name w:val="List Paragraph"/>
    <w:basedOn w:val="Normal"/>
    <w:uiPriority w:val="34"/>
    <w:qFormat/>
    <w:rsid w:val="003B3E7D"/>
    <w:pPr>
      <w:ind w:left="720"/>
    </w:pPr>
  </w:style>
  <w:style w:type="character" w:customStyle="1" w:styleId="TTHovesMedium">
    <w:name w:val="TT Hoves Medium"/>
    <w:basedOn w:val="DefaultParagraphFont"/>
    <w:uiPriority w:val="2"/>
    <w:qFormat/>
    <w:rsid w:val="00415C2B"/>
    <w:rPr>
      <w:rFonts w:asciiTheme="majorHAnsi" w:hAnsiTheme="majorHAnsi"/>
    </w:rPr>
  </w:style>
  <w:style w:type="character" w:customStyle="1" w:styleId="Heading1Char">
    <w:name w:val="Heading 1 Char"/>
    <w:basedOn w:val="DefaultParagraphFont"/>
    <w:link w:val="Heading1"/>
    <w:uiPriority w:val="3"/>
    <w:rsid w:val="00415C2B"/>
    <w:rPr>
      <w:rFonts w:asciiTheme="majorHAnsi" w:eastAsiaTheme="majorEastAsia" w:hAnsiTheme="majorHAnsi" w:cstheme="majorBidi"/>
      <w:color w:val="4472C4" w:themeColor="accent1"/>
      <w:sz w:val="60"/>
      <w:szCs w:val="32"/>
    </w:rPr>
  </w:style>
  <w:style w:type="table" w:customStyle="1" w:styleId="IsioDarkHeader">
    <w:name w:val="Isio Dark Header"/>
    <w:basedOn w:val="TableNormal"/>
    <w:uiPriority w:val="99"/>
    <w:rsid w:val="00415C2B"/>
    <w:pPr>
      <w:spacing w:after="0" w:line="240" w:lineRule="auto"/>
    </w:pPr>
    <w:rPr>
      <w:color w:val="000000" w:themeColor="text1"/>
      <w:sz w:val="19"/>
      <w:szCs w:val="19"/>
    </w:rPr>
    <w:tblPr>
      <w:tblBorders>
        <w:bottom w:val="single" w:sz="8" w:space="0" w:color="44546A" w:themeColor="text2"/>
        <w:insideH w:val="single" w:sz="4" w:space="0" w:color="44546A" w:themeColor="text2"/>
      </w:tblBorders>
      <w:tblCellMar>
        <w:top w:w="43" w:type="dxa"/>
        <w:left w:w="85" w:type="dxa"/>
        <w:bottom w:w="43" w:type="dxa"/>
        <w:right w:w="85" w:type="dxa"/>
      </w:tblCellMar>
    </w:tblPr>
    <w:tblStylePr w:type="firstRow">
      <w:rPr>
        <w:rFonts w:asciiTheme="majorHAnsi" w:hAnsiTheme="majorHAnsi"/>
        <w:color w:val="FFFFFF" w:themeColor="background1"/>
      </w:rPr>
      <w:tblPr/>
      <w:tcPr>
        <w:tcBorders>
          <w:top w:val="nil"/>
          <w:left w:val="nil"/>
          <w:bottom w:val="single" w:sz="4" w:space="0" w:color="4472C4" w:themeColor="accent1"/>
          <w:right w:val="nil"/>
          <w:insideH w:val="nil"/>
          <w:insideV w:val="nil"/>
          <w:tl2br w:val="nil"/>
          <w:tr2bl w:val="nil"/>
        </w:tcBorders>
        <w:shd w:val="clear" w:color="auto" w:fill="4472C4" w:themeFill="accent1"/>
      </w:tcPr>
    </w:tblStylePr>
    <w:tblStylePr w:type="lastRow">
      <w:rPr>
        <w:rFonts w:asciiTheme="majorHAnsi" w:hAnsiTheme="majorHAnsi"/>
      </w:rPr>
      <w:tblPr/>
      <w:tcPr>
        <w:tcBorders>
          <w:top w:val="single" w:sz="8" w:space="0" w:color="44546A" w:themeColor="text2"/>
          <w:left w:val="nil"/>
          <w:bottom w:val="single" w:sz="8" w:space="0" w:color="44546A" w:themeColor="text2"/>
          <w:right w:val="nil"/>
          <w:insideH w:val="nil"/>
          <w:insideV w:val="nil"/>
          <w:tl2br w:val="nil"/>
          <w:tr2bl w:val="nil"/>
        </w:tcBorders>
      </w:tcPr>
    </w:tblStylePr>
  </w:style>
  <w:style w:type="paragraph" w:customStyle="1" w:styleId="Normal6ptafter">
    <w:name w:val="Normal 6pt after"/>
    <w:basedOn w:val="Normal"/>
    <w:uiPriority w:val="1"/>
    <w:qFormat/>
    <w:rsid w:val="00415C2B"/>
    <w:pPr>
      <w:spacing w:after="120" w:line="240" w:lineRule="atLeast"/>
    </w:pPr>
    <w:rPr>
      <w:rFonts w:asciiTheme="minorHAnsi" w:hAnsiTheme="minorHAnsi" w:cstheme="minorBidi"/>
      <w:color w:val="000000" w:themeColor="text1"/>
      <w:sz w:val="19"/>
      <w:szCs w:val="19"/>
    </w:rPr>
  </w:style>
  <w:style w:type="character" w:styleId="CommentReference">
    <w:name w:val="annotation reference"/>
    <w:basedOn w:val="DefaultParagraphFont"/>
    <w:uiPriority w:val="99"/>
    <w:semiHidden/>
    <w:unhideWhenUsed/>
    <w:rsid w:val="0090487A"/>
    <w:rPr>
      <w:sz w:val="16"/>
      <w:szCs w:val="16"/>
    </w:rPr>
  </w:style>
  <w:style w:type="paragraph" w:styleId="CommentText">
    <w:name w:val="annotation text"/>
    <w:basedOn w:val="Normal"/>
    <w:link w:val="CommentTextChar"/>
    <w:uiPriority w:val="99"/>
    <w:semiHidden/>
    <w:unhideWhenUsed/>
    <w:rsid w:val="0090487A"/>
    <w:pPr>
      <w:spacing w:after="240"/>
    </w:pPr>
    <w:rPr>
      <w:rFonts w:asciiTheme="minorHAnsi" w:hAnsiTheme="minorHAnsi" w:cstheme="minorBidi"/>
      <w:color w:val="000000" w:themeColor="text1"/>
      <w:sz w:val="20"/>
      <w:szCs w:val="20"/>
    </w:rPr>
  </w:style>
  <w:style w:type="character" w:customStyle="1" w:styleId="CommentTextChar">
    <w:name w:val="Comment Text Char"/>
    <w:basedOn w:val="DefaultParagraphFont"/>
    <w:link w:val="CommentText"/>
    <w:uiPriority w:val="99"/>
    <w:semiHidden/>
    <w:rsid w:val="0090487A"/>
    <w:rPr>
      <w:color w:val="000000" w:themeColor="text1"/>
      <w:sz w:val="20"/>
      <w:szCs w:val="20"/>
    </w:rPr>
  </w:style>
  <w:style w:type="character" w:customStyle="1" w:styleId="Heading2Char">
    <w:name w:val="Heading 2 Char"/>
    <w:basedOn w:val="DefaultParagraphFont"/>
    <w:link w:val="Heading2"/>
    <w:uiPriority w:val="9"/>
    <w:semiHidden/>
    <w:rsid w:val="0090487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37819">
      <w:bodyDiv w:val="1"/>
      <w:marLeft w:val="0"/>
      <w:marRight w:val="0"/>
      <w:marTop w:val="0"/>
      <w:marBottom w:val="0"/>
      <w:divBdr>
        <w:top w:val="none" w:sz="0" w:space="0" w:color="auto"/>
        <w:left w:val="none" w:sz="0" w:space="0" w:color="auto"/>
        <w:bottom w:val="none" w:sz="0" w:space="0" w:color="auto"/>
        <w:right w:val="none" w:sz="0" w:space="0" w:color="auto"/>
      </w:divBdr>
    </w:div>
    <w:div w:id="1052388548">
      <w:bodyDiv w:val="1"/>
      <w:marLeft w:val="0"/>
      <w:marRight w:val="0"/>
      <w:marTop w:val="0"/>
      <w:marBottom w:val="0"/>
      <w:divBdr>
        <w:top w:val="none" w:sz="0" w:space="0" w:color="auto"/>
        <w:left w:val="none" w:sz="0" w:space="0" w:color="auto"/>
        <w:bottom w:val="none" w:sz="0" w:space="0" w:color="auto"/>
        <w:right w:val="none" w:sz="0" w:space="0" w:color="auto"/>
      </w:divBdr>
    </w:div>
    <w:div w:id="20704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F41B157147447B7ADF2B31F8609EB" ma:contentTypeVersion="12" ma:contentTypeDescription="Create a new document." ma:contentTypeScope="" ma:versionID="1aaf99f334afde6f143013a4f25f7b24">
  <xsd:schema xmlns:xsd="http://www.w3.org/2001/XMLSchema" xmlns:xs="http://www.w3.org/2001/XMLSchema" xmlns:p="http://schemas.microsoft.com/office/2006/metadata/properties" xmlns:ns2="836a440e-2401-402d-9cc4-7271766543bc" xmlns:ns3="fdbe2f22-9947-4898-bf45-241daf17d2a0" targetNamespace="http://schemas.microsoft.com/office/2006/metadata/properties" ma:root="true" ma:fieldsID="a64e3e7e87dee5a9335a4c3c005d83a4" ns2:_="" ns3:_="">
    <xsd:import namespace="836a440e-2401-402d-9cc4-7271766543bc"/>
    <xsd:import namespace="fdbe2f22-9947-4898-bf45-241daf17d2a0"/>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a440e-2401-402d-9cc4-7271766543b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e44d475-307a-44ca-be01-935d19178b1a"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3c023f4-c401-4d80-b796-153a5546ea7f}" ma:internalName="TaxCatchAll" ma:showField="CatchAllData" ma:web="836a440e-2401-402d-9cc4-7271766543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be2f22-9947-4898-bf45-241daf17d2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36a440e-2401-402d-9cc4-7271766543bc"/>
    <TaxKeywordTaxHTField xmlns="836a440e-2401-402d-9cc4-7271766543bc">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E1B448-E46D-403A-861A-CB729587B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a440e-2401-402d-9cc4-7271766543bc"/>
    <ds:schemaRef ds:uri="fdbe2f22-9947-4898-bf45-241daf17d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EC4DF-CE96-402B-8714-1869D70CCB81}">
  <ds:schemaRefs>
    <ds:schemaRef ds:uri="http://purl.org/dc/elements/1.1/"/>
    <ds:schemaRef ds:uri="http://schemas.microsoft.com/office/2006/metadata/properties"/>
    <ds:schemaRef ds:uri="http://schemas.microsoft.com/office/2006/documentManagement/types"/>
    <ds:schemaRef ds:uri="fdbe2f22-9947-4898-bf45-241daf17d2a0"/>
    <ds:schemaRef ds:uri="http://purl.org/dc/terms/"/>
    <ds:schemaRef ds:uri="http://purl.org/dc/dcmitype/"/>
    <ds:schemaRef ds:uri="http://schemas.microsoft.com/office/infopath/2007/PartnerControls"/>
    <ds:schemaRef ds:uri="http://schemas.openxmlformats.org/package/2006/metadata/core-properties"/>
    <ds:schemaRef ds:uri="836a440e-2401-402d-9cc4-7271766543bc"/>
    <ds:schemaRef ds:uri="http://www.w3.org/XML/1998/namespace"/>
  </ds:schemaRefs>
</ds:datastoreItem>
</file>

<file path=customXml/itemProps3.xml><?xml version="1.0" encoding="utf-8"?>
<ds:datastoreItem xmlns:ds="http://schemas.openxmlformats.org/officeDocument/2006/customXml" ds:itemID="{0AE9D7F6-C433-4B10-BF2E-5F4B420D4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Zohrah Yaqub</dc:creator>
  <cp:keywords/>
  <dc:description/>
  <cp:lastModifiedBy>Georgina Rae</cp:lastModifiedBy>
  <cp:revision>33</cp:revision>
  <dcterms:created xsi:type="dcterms:W3CDTF">2020-10-27T07:26:00Z</dcterms:created>
  <dcterms:modified xsi:type="dcterms:W3CDTF">2021-08-31T09:32:00Z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818868-c01c-44c9-ad71-c3bcd7450a7b_Enabled">
    <vt:lpwstr>true</vt:lpwstr>
  </property>
  <property fmtid="{D5CDD505-2E9C-101B-9397-08002B2CF9AE}" pid="3" name="MSIP_Label_df818868-c01c-44c9-ad71-c3bcd7450a7b_SetDate">
    <vt:lpwstr>2020-10-26T15:32:56Z</vt:lpwstr>
  </property>
  <property fmtid="{D5CDD505-2E9C-101B-9397-08002B2CF9AE}" pid="4" name="MSIP_Label_df818868-c01c-44c9-ad71-c3bcd7450a7b_Method">
    <vt:lpwstr>Standard</vt:lpwstr>
  </property>
  <property fmtid="{D5CDD505-2E9C-101B-9397-08002B2CF9AE}" pid="5" name="MSIP_Label_df818868-c01c-44c9-ad71-c3bcd7450a7b_Name">
    <vt:lpwstr>Confidential Anyone</vt:lpwstr>
  </property>
  <property fmtid="{D5CDD505-2E9C-101B-9397-08002B2CF9AE}" pid="6" name="MSIP_Label_df818868-c01c-44c9-ad71-c3bcd7450a7b_SiteId">
    <vt:lpwstr>ab764745-f919-47d0-8e21-f242e4ad7ebf</vt:lpwstr>
  </property>
  <property fmtid="{D5CDD505-2E9C-101B-9397-08002B2CF9AE}" pid="7" name="MSIP_Label_df818868-c01c-44c9-ad71-c3bcd7450a7b_ActionId">
    <vt:lpwstr>87c10a6f-92bc-4ab7-adff-d35bd417157b</vt:lpwstr>
  </property>
  <property fmtid="{D5CDD505-2E9C-101B-9397-08002B2CF9AE}" pid="8" name="MSIP_Label_df818868-c01c-44c9-ad71-c3bcd7450a7b_ContentBits">
    <vt:lpwstr>0</vt:lpwstr>
  </property>
  <property fmtid="{D5CDD505-2E9C-101B-9397-08002B2CF9AE}" pid="9" name="ContentTypeId">
    <vt:lpwstr>0x010100BD9F41B157147447B7ADF2B31F8609EB</vt:lpwstr>
  </property>
  <property fmtid="{D5CDD505-2E9C-101B-9397-08002B2CF9AE}" pid="10" name="TaxKeyword">
    <vt:lpwstr/>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ies>
</file>